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78BDA" w14:textId="77777777" w:rsidR="00451334" w:rsidRDefault="00000000">
      <w:pPr>
        <w:pStyle w:val="Titre1"/>
      </w:pPr>
      <w:r>
        <w:t>Politique de sauvegarde et de restauration d’un Système d’Information (SI)</w:t>
      </w:r>
    </w:p>
    <w:p w14:paraId="5EAD126B" w14:textId="77777777" w:rsidR="00451334" w:rsidRDefault="00000000">
      <w:pPr>
        <w:pStyle w:val="Titre2"/>
      </w:pPr>
      <w:r>
        <w:t>Définition</w:t>
      </w:r>
    </w:p>
    <w:p w14:paraId="30A8861D" w14:textId="77777777" w:rsidR="00451334" w:rsidRDefault="00000000">
      <w:pPr>
        <w:pStyle w:val="Textbody"/>
      </w:pPr>
      <w:r>
        <w:rPr>
          <w:rStyle w:val="Internetlink"/>
          <w:color w:val="auto"/>
          <w:u w:val="none"/>
        </w:rPr>
        <w:t>La mise en place d’une politique de sauvegarde et de restauration pour un Système d’Information (SI) est cruciale pour assurer la protection des données, la continuité des activités, et la résilience face aux incidents. Quelle que soit la taille ou la nature du SI, cette politique doit être bien structurée pour couvrir les aspects essentiels de la sauvegarde des données et de la récupération en cas de sinistre.</w:t>
      </w:r>
    </w:p>
    <w:p w14:paraId="4C2DC7F2" w14:textId="77777777" w:rsidR="00451334" w:rsidRDefault="00000000">
      <w:pPr>
        <w:pStyle w:val="Textbody"/>
      </w:pPr>
      <w:r>
        <w:rPr>
          <w:rStyle w:val="Internetlink"/>
          <w:color w:val="auto"/>
          <w:u w:val="none"/>
        </w:rPr>
        <w:t>Voici un cadre général pour mettre en place cette politique</w:t>
      </w:r>
    </w:p>
    <w:p w14:paraId="135C7EB6" w14:textId="77777777" w:rsidR="00451334" w:rsidRDefault="00000000">
      <w:pPr>
        <w:pStyle w:val="Titre2"/>
      </w:pPr>
      <w:r>
        <w:rPr>
          <w:rStyle w:val="StrongEmphasis"/>
          <w:b/>
          <w:bCs w:val="0"/>
        </w:rPr>
        <w:t>Analyse des besoins et identification des données critiques</w:t>
      </w:r>
    </w:p>
    <w:p w14:paraId="5E75BFE4" w14:textId="77777777" w:rsidR="00451334" w:rsidRDefault="00000000">
      <w:pPr>
        <w:pStyle w:val="Textbody"/>
      </w:pPr>
      <w:r>
        <w:t>La première étape consiste à identifier les données et les systèmes critiques qui doivent être sauvegardés. Il peut s’agir de :</w:t>
      </w:r>
    </w:p>
    <w:p w14:paraId="664F7B5F" w14:textId="77777777" w:rsidR="00451334" w:rsidRDefault="00000000">
      <w:pPr>
        <w:pStyle w:val="Textbody"/>
        <w:numPr>
          <w:ilvl w:val="0"/>
          <w:numId w:val="22"/>
        </w:numPr>
        <w:tabs>
          <w:tab w:val="left" w:pos="709"/>
        </w:tabs>
      </w:pPr>
      <w:r>
        <w:rPr>
          <w:rStyle w:val="StrongEmphasis"/>
        </w:rPr>
        <w:t>Bases de données</w:t>
      </w:r>
      <w:r>
        <w:t> : Données transactionnelles, informations des clients, documents financiers.</w:t>
      </w:r>
    </w:p>
    <w:p w14:paraId="123CDAC9" w14:textId="77777777" w:rsidR="00451334" w:rsidRDefault="00000000">
      <w:pPr>
        <w:pStyle w:val="Textbody"/>
        <w:numPr>
          <w:ilvl w:val="0"/>
          <w:numId w:val="13"/>
        </w:numPr>
        <w:tabs>
          <w:tab w:val="left" w:pos="709"/>
        </w:tabs>
      </w:pPr>
      <w:r>
        <w:rPr>
          <w:rStyle w:val="StrongEmphasis"/>
        </w:rPr>
        <w:t>Applications métiers</w:t>
      </w:r>
      <w:r>
        <w:t> : ERP, CRM, logiciels spécifiques à l’entreprise.</w:t>
      </w:r>
    </w:p>
    <w:p w14:paraId="43A1FA61" w14:textId="77777777" w:rsidR="00451334" w:rsidRDefault="00000000">
      <w:pPr>
        <w:pStyle w:val="Textbody"/>
        <w:numPr>
          <w:ilvl w:val="0"/>
          <w:numId w:val="13"/>
        </w:numPr>
        <w:tabs>
          <w:tab w:val="left" w:pos="709"/>
        </w:tabs>
      </w:pPr>
      <w:r>
        <w:rPr>
          <w:rStyle w:val="StrongEmphasis"/>
        </w:rPr>
        <w:t>Fichiers et configurations</w:t>
      </w:r>
      <w:r>
        <w:t> : Systèmes de fichiers, configurations des serveurs, documents internes.</w:t>
      </w:r>
    </w:p>
    <w:p w14:paraId="380F3F45" w14:textId="77777777" w:rsidR="00451334" w:rsidRDefault="00000000">
      <w:pPr>
        <w:pStyle w:val="Textbody"/>
        <w:numPr>
          <w:ilvl w:val="0"/>
          <w:numId w:val="13"/>
        </w:numPr>
        <w:tabs>
          <w:tab w:val="left" w:pos="709"/>
        </w:tabs>
      </w:pPr>
      <w:r>
        <w:rPr>
          <w:rStyle w:val="StrongEmphasis"/>
        </w:rPr>
        <w:t>Journaux systèmes</w:t>
      </w:r>
      <w:r>
        <w:t> : Logs importants pour le diagnostic et la sécurité.</w:t>
      </w:r>
    </w:p>
    <w:p w14:paraId="3BFB005A" w14:textId="77777777" w:rsidR="00451334" w:rsidRDefault="00000000">
      <w:pPr>
        <w:pStyle w:val="Textbody"/>
      </w:pPr>
      <w:r>
        <w:t>Il est essentiel de bien comprendre la criticité des données pour prioriser la fréquence des sauvegardes et définir le niveau de protection requis.</w:t>
      </w:r>
    </w:p>
    <w:p w14:paraId="27493EB5" w14:textId="77777777" w:rsidR="00451334" w:rsidRDefault="00000000">
      <w:pPr>
        <w:pStyle w:val="Titre2"/>
      </w:pPr>
      <w:r>
        <w:rPr>
          <w:rStyle w:val="StrongEmphasis"/>
          <w:b/>
          <w:bCs w:val="0"/>
        </w:rPr>
        <w:t>Objectifs de récupération : RPO et RTO</w:t>
      </w:r>
    </w:p>
    <w:p w14:paraId="3FF78091" w14:textId="77777777" w:rsidR="00451334" w:rsidRDefault="00000000">
      <w:pPr>
        <w:pStyle w:val="Textbody"/>
      </w:pPr>
      <w:r>
        <w:t>La politique de sauvegarde doit définir deux indicateurs clés :</w:t>
      </w:r>
    </w:p>
    <w:p w14:paraId="150C1A36" w14:textId="77777777" w:rsidR="00451334" w:rsidRDefault="00000000">
      <w:pPr>
        <w:pStyle w:val="Textbody"/>
        <w:numPr>
          <w:ilvl w:val="0"/>
          <w:numId w:val="23"/>
        </w:numPr>
        <w:tabs>
          <w:tab w:val="left" w:pos="709"/>
        </w:tabs>
        <w:ind w:left="709" w:hanging="283"/>
      </w:pPr>
      <w:r>
        <w:rPr>
          <w:rStyle w:val="StrongEmphasis"/>
        </w:rPr>
        <w:t>RPO (</w:t>
      </w:r>
      <w:proofErr w:type="spellStart"/>
      <w:r>
        <w:rPr>
          <w:rStyle w:val="StrongEmphasis"/>
        </w:rPr>
        <w:t>Recovery</w:t>
      </w:r>
      <w:proofErr w:type="spellEnd"/>
      <w:r>
        <w:rPr>
          <w:rStyle w:val="StrongEmphasis"/>
        </w:rPr>
        <w:t xml:space="preserve"> Point Objective)</w:t>
      </w:r>
      <w:r>
        <w:t> : Indique la quantité maximale de données que l’organisation peut se permettre de perdre. Par exemple, un RPO de 1 heure signifie que les données doivent être sauvegardées au moins toutes les heures.</w:t>
      </w:r>
    </w:p>
    <w:p w14:paraId="0C5653CD" w14:textId="77777777" w:rsidR="00451334" w:rsidRDefault="00000000">
      <w:pPr>
        <w:pStyle w:val="Textbody"/>
        <w:numPr>
          <w:ilvl w:val="0"/>
          <w:numId w:val="6"/>
        </w:numPr>
        <w:tabs>
          <w:tab w:val="left" w:pos="709"/>
        </w:tabs>
        <w:ind w:left="709" w:hanging="283"/>
      </w:pPr>
      <w:r>
        <w:rPr>
          <w:rStyle w:val="StrongEmphasis"/>
        </w:rPr>
        <w:t>RTO (</w:t>
      </w:r>
      <w:proofErr w:type="spellStart"/>
      <w:r>
        <w:rPr>
          <w:rStyle w:val="StrongEmphasis"/>
        </w:rPr>
        <w:t>Recovery</w:t>
      </w:r>
      <w:proofErr w:type="spellEnd"/>
      <w:r>
        <w:rPr>
          <w:rStyle w:val="StrongEmphasis"/>
        </w:rPr>
        <w:t xml:space="preserve"> Time Objective)</w:t>
      </w:r>
      <w:r>
        <w:t> : Désigne le temps maximal acceptable pour restaurer les systèmes après un sinistre. Un RTO de 4 heures signifie que l’organisation doit être capable de remettre le système en service dans ce délai.</w:t>
      </w:r>
    </w:p>
    <w:p w14:paraId="66D98C34" w14:textId="77777777" w:rsidR="00451334" w:rsidRDefault="00000000">
      <w:pPr>
        <w:pStyle w:val="Lgende"/>
        <w:numPr>
          <w:ilvl w:val="0"/>
          <w:numId w:val="24"/>
        </w:numPr>
      </w:pPr>
      <w:r>
        <w:rPr>
          <w:noProof/>
        </w:rPr>
        <w:lastRenderedPageBreak/>
        <w:drawing>
          <wp:anchor distT="0" distB="0" distL="114300" distR="114300" simplePos="0" relativeHeight="10" behindDoc="0" locked="0" layoutInCell="1" allowOverlap="1" wp14:anchorId="5C2555CE" wp14:editId="1F59B6C0">
            <wp:simplePos x="0" y="0"/>
            <wp:positionH relativeFrom="column">
              <wp:posOffset>1596240</wp:posOffset>
            </wp:positionH>
            <wp:positionV relativeFrom="paragraph">
              <wp:posOffset>-21600</wp:posOffset>
            </wp:positionV>
            <wp:extent cx="2499840" cy="2421360"/>
            <wp:effectExtent l="19050" t="19050" r="14760" b="17040"/>
            <wp:wrapTopAndBottom/>
            <wp:docPr id="1086493535" name="Image1 Copi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l="-139" t="-143" r="-139" b="-143"/>
                    <a:stretch>
                      <a:fillRect/>
                    </a:stretch>
                  </pic:blipFill>
                  <pic:spPr>
                    <a:xfrm>
                      <a:off x="0" y="0"/>
                      <a:ext cx="2499840" cy="2421360"/>
                    </a:xfrm>
                    <a:prstGeom prst="rect">
                      <a:avLst/>
                    </a:prstGeom>
                    <a:noFill/>
                    <a:ln w="762">
                      <a:solidFill>
                        <a:srgbClr val="000000"/>
                      </a:solidFill>
                      <a:prstDash val="solid"/>
                    </a:ln>
                  </pic:spPr>
                </pic:pic>
              </a:graphicData>
            </a:graphic>
          </wp:anchor>
        </w:drawing>
      </w:r>
      <w:r>
        <w:t>Figure 1 - RPO et RTO</w:t>
      </w:r>
    </w:p>
    <w:p w14:paraId="42E49197" w14:textId="77777777" w:rsidR="00451334" w:rsidRDefault="00000000">
      <w:pPr>
        <w:pStyle w:val="Textbody"/>
      </w:pPr>
      <w:r>
        <w:t>Ces indicateurs varient en fonction des activités de l’entreprise et des contraintes métiers. Les systèmes critiques peuvent nécessiter un RPO et un RTO très bas, tandis que les systèmes moins critiques peuvent tolérer des temps de récupération plus longs.</w:t>
      </w:r>
    </w:p>
    <w:p w14:paraId="55B21A82" w14:textId="77777777" w:rsidR="00451334" w:rsidRDefault="00000000">
      <w:pPr>
        <w:pStyle w:val="Titre2"/>
      </w:pPr>
      <w:r>
        <w:rPr>
          <w:rStyle w:val="StrongEmphasis"/>
          <w:b/>
          <w:bCs w:val="0"/>
        </w:rPr>
        <w:t>Choix des types de sauvegardes</w:t>
      </w:r>
    </w:p>
    <w:p w14:paraId="2CAFC019" w14:textId="77777777" w:rsidR="00451334" w:rsidRDefault="00000000">
      <w:pPr>
        <w:pStyle w:val="Textbody"/>
      </w:pPr>
      <w:r>
        <w:t>Les types de sauvegardes les plus couramment utilisés sont :</w:t>
      </w:r>
    </w:p>
    <w:p w14:paraId="6D6954DF" w14:textId="77777777" w:rsidR="00451334" w:rsidRDefault="00000000">
      <w:pPr>
        <w:pStyle w:val="Textbody"/>
        <w:numPr>
          <w:ilvl w:val="0"/>
          <w:numId w:val="25"/>
        </w:numPr>
        <w:tabs>
          <w:tab w:val="left" w:pos="709"/>
        </w:tabs>
        <w:ind w:left="709" w:hanging="283"/>
      </w:pPr>
      <w:r>
        <w:rPr>
          <w:rStyle w:val="StrongEmphasis"/>
        </w:rPr>
        <w:t>Sauvegarde complète</w:t>
      </w:r>
      <w:r>
        <w:t> : Copie intégrale de toutes les données. Ce choix de sauvegarde est simple à restaurer mais consomme beaucoup d’espace de stockage.</w:t>
      </w:r>
    </w:p>
    <w:p w14:paraId="7CE9EE63" w14:textId="77777777" w:rsidR="00451334" w:rsidRDefault="00000000">
      <w:pPr>
        <w:pStyle w:val="Textbody"/>
        <w:numPr>
          <w:ilvl w:val="0"/>
          <w:numId w:val="7"/>
        </w:numPr>
        <w:tabs>
          <w:tab w:val="left" w:pos="709"/>
        </w:tabs>
        <w:ind w:left="709" w:hanging="283"/>
      </w:pPr>
      <w:r>
        <w:rPr>
          <w:rStyle w:val="StrongEmphasis"/>
        </w:rPr>
        <w:t>Sauvegarde incrémentielle</w:t>
      </w:r>
      <w:r>
        <w:t> : Sauvegarde uniquement les données modifiées depuis la dernière sauvegarde (complète ou incrémentielle). Ce choix de sauvegarde est moins gourmand en espace, mais plus complexe à restaurer car nécessite de restaurer la dernière sauvegarde complète et toutes les sauvegardes incrémentielles suivantes.</w:t>
      </w:r>
    </w:p>
    <w:p w14:paraId="356B4413" w14:textId="77777777" w:rsidR="00451334" w:rsidRDefault="00000000">
      <w:pPr>
        <w:pStyle w:val="Textbody"/>
        <w:numPr>
          <w:ilvl w:val="0"/>
          <w:numId w:val="7"/>
        </w:numPr>
        <w:tabs>
          <w:tab w:val="left" w:pos="709"/>
        </w:tabs>
        <w:ind w:left="709" w:hanging="283"/>
      </w:pPr>
      <w:r>
        <w:rPr>
          <w:rStyle w:val="StrongEmphasis"/>
        </w:rPr>
        <w:t>Sauvegarde différentielle</w:t>
      </w:r>
      <w:r>
        <w:t> : Sauvegarde des données modifiées depuis la dernière sauvegarde complète. Ce choix de sauvegarde nécessite moins d’espace que la sauvegarde complète, mais plus que l’incrémentielle.</w:t>
      </w:r>
    </w:p>
    <w:p w14:paraId="6F1F6D55" w14:textId="77777777" w:rsidR="00451334" w:rsidRDefault="00000000">
      <w:pPr>
        <w:pStyle w:val="Textbody"/>
      </w:pPr>
      <w:r>
        <w:t>Le choix du type de sauvegarde dépend des besoins en termes de rapidité de restauration et des contraintes de stockage.</w:t>
      </w:r>
    </w:p>
    <w:p w14:paraId="23B24D51" w14:textId="77777777" w:rsidR="00451334" w:rsidRDefault="00000000">
      <w:pPr>
        <w:pStyle w:val="Titre2"/>
      </w:pPr>
      <w:r>
        <w:rPr>
          <w:rStyle w:val="StrongEmphasis"/>
          <w:b/>
          <w:bCs w:val="0"/>
        </w:rPr>
        <w:t>Stratégie de sauvegarde</w:t>
      </w:r>
    </w:p>
    <w:p w14:paraId="0A4CE496" w14:textId="77777777" w:rsidR="00451334" w:rsidRDefault="00000000">
      <w:pPr>
        <w:pStyle w:val="Textbody"/>
      </w:pPr>
      <w:r>
        <w:t>Une bonne stratégie de sauvegarde prend en compte :</w:t>
      </w:r>
    </w:p>
    <w:p w14:paraId="42E9FEE5" w14:textId="77777777" w:rsidR="00451334" w:rsidRDefault="00000000">
      <w:pPr>
        <w:pStyle w:val="Textbody"/>
        <w:numPr>
          <w:ilvl w:val="0"/>
          <w:numId w:val="26"/>
        </w:numPr>
        <w:tabs>
          <w:tab w:val="left" w:pos="709"/>
        </w:tabs>
      </w:pPr>
      <w:r>
        <w:rPr>
          <w:rStyle w:val="StrongEmphasis"/>
        </w:rPr>
        <w:t>Fréquence des sauvegardes</w:t>
      </w:r>
      <w:r>
        <w:t> : Elle peut être quotidienne, hebdomadaire, ou plus fréquente selon l’importance des données.</w:t>
      </w:r>
    </w:p>
    <w:p w14:paraId="25E47E12" w14:textId="77777777" w:rsidR="00451334" w:rsidRDefault="00000000">
      <w:pPr>
        <w:pStyle w:val="Textbody"/>
        <w:numPr>
          <w:ilvl w:val="0"/>
          <w:numId w:val="14"/>
        </w:numPr>
        <w:tabs>
          <w:tab w:val="left" w:pos="709"/>
        </w:tabs>
      </w:pPr>
      <w:r>
        <w:rPr>
          <w:rStyle w:val="StrongEmphasis"/>
        </w:rPr>
        <w:t>Planification des sauvegardes</w:t>
      </w:r>
      <w:r>
        <w:t> : Les sauvegardes doivent être planifiées pour ne pas interférer avec les opérations courantes (par exemple, la nuit ou en dehors des heures de pointe).</w:t>
      </w:r>
    </w:p>
    <w:p w14:paraId="49C53B13" w14:textId="77777777" w:rsidR="00451334" w:rsidRDefault="00000000">
      <w:pPr>
        <w:pStyle w:val="Textbody"/>
        <w:numPr>
          <w:ilvl w:val="0"/>
          <w:numId w:val="14"/>
        </w:numPr>
        <w:tabs>
          <w:tab w:val="left" w:pos="709"/>
        </w:tabs>
      </w:pPr>
      <w:r>
        <w:rPr>
          <w:rStyle w:val="StrongEmphasis"/>
        </w:rPr>
        <w:t>Emplacements de sauvegarde</w:t>
      </w:r>
      <w:r>
        <w:t xml:space="preserve"> : Les données peuvent être sauvegardées localement (sur des serveurs ou des disques locaux), mais il est recommandé d’utiliser des solutions externes comme des </w:t>
      </w:r>
      <w:r>
        <w:rPr>
          <w:rStyle w:val="StrongEmphasis"/>
        </w:rPr>
        <w:t>sites distants</w:t>
      </w:r>
      <w:r>
        <w:t xml:space="preserve"> ou le </w:t>
      </w:r>
      <w:r>
        <w:rPr>
          <w:rStyle w:val="StrongEmphasis"/>
        </w:rPr>
        <w:t>cloud</w:t>
      </w:r>
      <w:r>
        <w:t xml:space="preserve"> pour la résilience.</w:t>
      </w:r>
    </w:p>
    <w:p w14:paraId="2E782D22" w14:textId="77777777" w:rsidR="00451334" w:rsidRDefault="00000000">
      <w:pPr>
        <w:pStyle w:val="Titre2"/>
      </w:pPr>
      <w:r>
        <w:rPr>
          <w:rStyle w:val="StrongEmphasis"/>
          <w:b/>
          <w:bCs w:val="0"/>
        </w:rPr>
        <w:t>Sécurité des sauvegardes</w:t>
      </w:r>
    </w:p>
    <w:p w14:paraId="53683409" w14:textId="77777777" w:rsidR="00451334" w:rsidRDefault="00000000">
      <w:pPr>
        <w:pStyle w:val="Textbody"/>
      </w:pPr>
      <w:r>
        <w:t>Les données sauvegardées doivent être protégées contre les accès non autorisés :</w:t>
      </w:r>
    </w:p>
    <w:p w14:paraId="5FA1306F" w14:textId="77777777" w:rsidR="00451334" w:rsidRDefault="00000000">
      <w:pPr>
        <w:pStyle w:val="Textbody"/>
        <w:numPr>
          <w:ilvl w:val="0"/>
          <w:numId w:val="27"/>
        </w:numPr>
        <w:tabs>
          <w:tab w:val="left" w:pos="709"/>
        </w:tabs>
      </w:pPr>
      <w:r>
        <w:rPr>
          <w:rStyle w:val="StrongEmphasis"/>
        </w:rPr>
        <w:t>Chiffrement des sauvegardes</w:t>
      </w:r>
      <w:r>
        <w:t> : Les données doivent être chiffrées à la fois en transit (lors de la transmission des sauvegardes) et au repos (lorsqu’elles sont stockées).</w:t>
      </w:r>
    </w:p>
    <w:p w14:paraId="45CBF322" w14:textId="77777777" w:rsidR="00451334" w:rsidRDefault="00000000">
      <w:pPr>
        <w:pStyle w:val="Textbody"/>
        <w:numPr>
          <w:ilvl w:val="0"/>
          <w:numId w:val="15"/>
        </w:numPr>
        <w:tabs>
          <w:tab w:val="left" w:pos="709"/>
        </w:tabs>
      </w:pPr>
      <w:r>
        <w:rPr>
          <w:rStyle w:val="StrongEmphasis"/>
        </w:rPr>
        <w:t>Contrôle d’accès</w:t>
      </w:r>
      <w:r>
        <w:t> : Seules les personnes et les systèmes autorisés doivent avoir accès aux sauvegardes. Il est important d’appliquer une gestion stricte des permissions et d'utiliser des systèmes d'authentification sécurisés.</w:t>
      </w:r>
    </w:p>
    <w:p w14:paraId="3C3B2CE7" w14:textId="77777777" w:rsidR="00451334" w:rsidRDefault="00000000">
      <w:pPr>
        <w:pStyle w:val="Textbody"/>
        <w:numPr>
          <w:ilvl w:val="0"/>
          <w:numId w:val="15"/>
        </w:numPr>
        <w:tabs>
          <w:tab w:val="left" w:pos="709"/>
        </w:tabs>
      </w:pPr>
      <w:r>
        <w:rPr>
          <w:rStyle w:val="StrongEmphasis"/>
        </w:rPr>
        <w:t>Conservation des sauvegardes</w:t>
      </w:r>
      <w:r>
        <w:t> : Une politique de rétention doit être définie pour conserver un certain nombre de copies de sauvegarde (exemple – garder les sauvegardes hebdomadaires pendant 6 mois, les sauvegardes mensuelles pendant 1 an).</w:t>
      </w:r>
    </w:p>
    <w:p w14:paraId="453673AF" w14:textId="77777777" w:rsidR="00451334" w:rsidRDefault="00000000">
      <w:pPr>
        <w:pStyle w:val="Titre2"/>
      </w:pPr>
      <w:r>
        <w:rPr>
          <w:rStyle w:val="StrongEmphasis"/>
          <w:b/>
          <w:bCs w:val="0"/>
        </w:rPr>
        <w:t>Test de restauration</w:t>
      </w:r>
    </w:p>
    <w:p w14:paraId="5500CB47" w14:textId="77777777" w:rsidR="00451334" w:rsidRDefault="00000000">
      <w:pPr>
        <w:pStyle w:val="Textbody"/>
      </w:pPr>
      <w:r>
        <w:t>Une politique de sauvegarde n’est utile que si les restaurations fonctionnent correctement. Il est donc essentiel de :</w:t>
      </w:r>
    </w:p>
    <w:p w14:paraId="1A83404E" w14:textId="77777777" w:rsidR="00451334" w:rsidRDefault="00000000">
      <w:pPr>
        <w:pStyle w:val="Textbody"/>
        <w:numPr>
          <w:ilvl w:val="0"/>
          <w:numId w:val="28"/>
        </w:numPr>
        <w:tabs>
          <w:tab w:val="left" w:pos="709"/>
        </w:tabs>
      </w:pPr>
      <w:r>
        <w:rPr>
          <w:rStyle w:val="StrongEmphasis"/>
        </w:rPr>
        <w:t>Tester régulièrement les procédures de restauration</w:t>
      </w:r>
      <w:r>
        <w:t xml:space="preserve"> pour s’assurer que les données sauvegardées peuvent être récupérées en cas de besoin.</w:t>
      </w:r>
    </w:p>
    <w:p w14:paraId="3846BE30" w14:textId="77777777" w:rsidR="00451334" w:rsidRDefault="00000000">
      <w:pPr>
        <w:pStyle w:val="Textbody"/>
        <w:numPr>
          <w:ilvl w:val="0"/>
          <w:numId w:val="16"/>
        </w:numPr>
        <w:tabs>
          <w:tab w:val="left" w:pos="709"/>
        </w:tabs>
      </w:pPr>
      <w:r>
        <w:rPr>
          <w:rStyle w:val="StrongEmphasis"/>
        </w:rPr>
        <w:t>Simuler des scénarios de sinistre</w:t>
      </w:r>
      <w:r>
        <w:t xml:space="preserve"> pour vérifier si les délais de récupération (RTO) sont respectés.</w:t>
      </w:r>
    </w:p>
    <w:p w14:paraId="0CFB06B7" w14:textId="77777777" w:rsidR="00451334" w:rsidRDefault="00000000">
      <w:pPr>
        <w:pStyle w:val="Textbody"/>
        <w:numPr>
          <w:ilvl w:val="0"/>
          <w:numId w:val="16"/>
        </w:numPr>
        <w:tabs>
          <w:tab w:val="left" w:pos="709"/>
        </w:tabs>
      </w:pPr>
      <w:r>
        <w:rPr>
          <w:rStyle w:val="StrongEmphasis"/>
        </w:rPr>
        <w:t>Documenter les procédures de restauration</w:t>
      </w:r>
      <w:r>
        <w:t xml:space="preserve"> </w:t>
      </w:r>
      <w:proofErr w:type="gramStart"/>
      <w:r>
        <w:t>de manière à ce</w:t>
      </w:r>
      <w:proofErr w:type="gramEnd"/>
      <w:r>
        <w:t xml:space="preserve"> qu’elles puissent être suivies facilement par le personnel technique.</w:t>
      </w:r>
    </w:p>
    <w:p w14:paraId="153D54B4" w14:textId="77777777" w:rsidR="00451334" w:rsidRDefault="00000000">
      <w:pPr>
        <w:pStyle w:val="Titre2"/>
      </w:pPr>
      <w:r>
        <w:rPr>
          <w:rStyle w:val="StrongEmphasis"/>
          <w:b/>
          <w:bCs w:val="0"/>
        </w:rPr>
        <w:t>Automatisation des sauvegardes</w:t>
      </w:r>
    </w:p>
    <w:p w14:paraId="6CE73609" w14:textId="77777777" w:rsidR="00451334" w:rsidRDefault="00000000">
      <w:pPr>
        <w:pStyle w:val="Textbody"/>
      </w:pPr>
      <w:r>
        <w:t>Automatiser les sauvegardes est essentiel pour garantir leur régularité et minimiser les erreurs humaines. Cela peut inclure :</w:t>
      </w:r>
    </w:p>
    <w:p w14:paraId="7D10DD65" w14:textId="77777777" w:rsidR="00451334" w:rsidRDefault="00000000">
      <w:pPr>
        <w:pStyle w:val="Textbody"/>
        <w:numPr>
          <w:ilvl w:val="0"/>
          <w:numId w:val="29"/>
        </w:numPr>
        <w:tabs>
          <w:tab w:val="left" w:pos="709"/>
        </w:tabs>
      </w:pPr>
      <w:r>
        <w:rPr>
          <w:rStyle w:val="StrongEmphasis"/>
        </w:rPr>
        <w:t>Solutions de sauvegarde automatisée</w:t>
      </w:r>
      <w:r>
        <w:t xml:space="preserve"> : Utilisation de logiciels de sauvegarde qui permettent de planifier et d’exécuter automatiquement des tâches de sauvegarde (tar + </w:t>
      </w:r>
      <w:proofErr w:type="spellStart"/>
      <w:r>
        <w:t>cron</w:t>
      </w:r>
      <w:proofErr w:type="spellEnd"/>
      <w:r>
        <w:t xml:space="preserve">, </w:t>
      </w:r>
      <w:proofErr w:type="spellStart"/>
      <w:r>
        <w:t>Percona</w:t>
      </w:r>
      <w:proofErr w:type="spellEnd"/>
      <w:r>
        <w:t xml:space="preserve"> </w:t>
      </w:r>
      <w:proofErr w:type="spellStart"/>
      <w:r>
        <w:t>XtraBackup</w:t>
      </w:r>
      <w:proofErr w:type="spellEnd"/>
      <w:r>
        <w:t>, Veeam, Acronis, Bacula, etc.).</w:t>
      </w:r>
    </w:p>
    <w:p w14:paraId="0B0A5BB6" w14:textId="77777777" w:rsidR="00451334" w:rsidRDefault="00000000">
      <w:pPr>
        <w:pStyle w:val="Textbody"/>
        <w:numPr>
          <w:ilvl w:val="0"/>
          <w:numId w:val="17"/>
        </w:numPr>
        <w:tabs>
          <w:tab w:val="left" w:pos="709"/>
        </w:tabs>
      </w:pPr>
      <w:r>
        <w:rPr>
          <w:rStyle w:val="StrongEmphasis"/>
        </w:rPr>
        <w:t>Surveillance des sauvegardes</w:t>
      </w:r>
      <w:r>
        <w:t> : Mise en place de systèmes de surveillance et d’alerte pour détecter les échecs de sauvegarde et les anomalies.</w:t>
      </w:r>
    </w:p>
    <w:p w14:paraId="276D1DE0" w14:textId="77777777" w:rsidR="00451334" w:rsidRDefault="00000000">
      <w:pPr>
        <w:pStyle w:val="Titre2"/>
      </w:pPr>
      <w:r>
        <w:rPr>
          <w:rStyle w:val="StrongEmphasis"/>
          <w:b/>
          <w:bCs w:val="0"/>
        </w:rPr>
        <w:t>Externalisation et redondance</w:t>
      </w:r>
    </w:p>
    <w:p w14:paraId="201FDC2A" w14:textId="77777777" w:rsidR="00451334" w:rsidRDefault="00000000">
      <w:pPr>
        <w:pStyle w:val="Textbody"/>
      </w:pPr>
      <w:r>
        <w:t>Il est recommandé d’externaliser les sauvegardes dans des environnements distants pour se prémunir contre des sinistres majeurs (incendie, inondation, etc.). Les options incluent :</w:t>
      </w:r>
    </w:p>
    <w:p w14:paraId="014DFD2C" w14:textId="77777777" w:rsidR="00451334" w:rsidRDefault="00000000">
      <w:pPr>
        <w:pStyle w:val="Textbody"/>
        <w:numPr>
          <w:ilvl w:val="0"/>
          <w:numId w:val="30"/>
        </w:numPr>
        <w:tabs>
          <w:tab w:val="left" w:pos="709"/>
        </w:tabs>
      </w:pPr>
      <w:r>
        <w:rPr>
          <w:rStyle w:val="StrongEmphasis"/>
        </w:rPr>
        <w:t>Solutions de cloud</w:t>
      </w:r>
      <w:r>
        <w:t> : Utilisation de services cloud (Amazon S3, Azure, Google Cloud) pour stocker des copies des sauvegardes.</w:t>
      </w:r>
    </w:p>
    <w:p w14:paraId="27F62028" w14:textId="77777777" w:rsidR="00451334" w:rsidRDefault="00000000">
      <w:pPr>
        <w:pStyle w:val="Textbody"/>
        <w:numPr>
          <w:ilvl w:val="0"/>
          <w:numId w:val="18"/>
        </w:numPr>
        <w:tabs>
          <w:tab w:val="left" w:pos="709"/>
        </w:tabs>
      </w:pPr>
      <w:r>
        <w:rPr>
          <w:rStyle w:val="StrongEmphasis"/>
        </w:rPr>
        <w:t>Sites distants</w:t>
      </w:r>
      <w:r>
        <w:t> : Réplication des sauvegardes vers des centres de données situés dans d’autres régions géographiques.</w:t>
      </w:r>
    </w:p>
    <w:p w14:paraId="283C6797" w14:textId="77777777" w:rsidR="00451334" w:rsidRDefault="00000000">
      <w:pPr>
        <w:pStyle w:val="Titre2"/>
      </w:pPr>
      <w:r>
        <w:rPr>
          <w:rStyle w:val="StrongEmphasis"/>
          <w:b/>
          <w:bCs w:val="0"/>
        </w:rPr>
        <w:t>Politique de rétention des sauvegardes</w:t>
      </w:r>
    </w:p>
    <w:p w14:paraId="305ECEA8" w14:textId="77777777" w:rsidR="00451334" w:rsidRDefault="00000000">
      <w:pPr>
        <w:pStyle w:val="Textbody"/>
      </w:pPr>
      <w:r>
        <w:t>Une politique de rétention définit combien de temps chaque sauvegarde est conservée. Elle doit équilibrer le besoin de stocker des sauvegardes anciennes avec les coûts de stockage. Un plan typique peut inclure :</w:t>
      </w:r>
    </w:p>
    <w:p w14:paraId="402AC71B" w14:textId="77777777" w:rsidR="00451334" w:rsidRDefault="00000000">
      <w:pPr>
        <w:pStyle w:val="Textbody"/>
        <w:numPr>
          <w:ilvl w:val="0"/>
          <w:numId w:val="31"/>
        </w:numPr>
        <w:tabs>
          <w:tab w:val="left" w:pos="709"/>
        </w:tabs>
      </w:pPr>
      <w:r>
        <w:rPr>
          <w:rStyle w:val="StrongEmphasis"/>
        </w:rPr>
        <w:t>Sauvegardes journalières</w:t>
      </w:r>
      <w:r>
        <w:t> : Conserver les sauvegardes quotidiennes pendant 7 jours.</w:t>
      </w:r>
    </w:p>
    <w:p w14:paraId="44251E41" w14:textId="77777777" w:rsidR="00451334" w:rsidRDefault="00000000">
      <w:pPr>
        <w:pStyle w:val="Textbody"/>
        <w:numPr>
          <w:ilvl w:val="0"/>
          <w:numId w:val="19"/>
        </w:numPr>
        <w:tabs>
          <w:tab w:val="left" w:pos="709"/>
        </w:tabs>
      </w:pPr>
      <w:r>
        <w:rPr>
          <w:rStyle w:val="StrongEmphasis"/>
        </w:rPr>
        <w:t>Sauvegardes hebdomadaires</w:t>
      </w:r>
      <w:r>
        <w:t> : Conserver les sauvegardes hebdomadaires pendant un mois.</w:t>
      </w:r>
    </w:p>
    <w:p w14:paraId="5F0671B0" w14:textId="77777777" w:rsidR="00451334" w:rsidRDefault="00000000">
      <w:pPr>
        <w:pStyle w:val="Textbody"/>
        <w:numPr>
          <w:ilvl w:val="0"/>
          <w:numId w:val="19"/>
        </w:numPr>
        <w:tabs>
          <w:tab w:val="left" w:pos="709"/>
        </w:tabs>
      </w:pPr>
      <w:r>
        <w:rPr>
          <w:rStyle w:val="StrongEmphasis"/>
        </w:rPr>
        <w:t>Sauvegardes mensuelles</w:t>
      </w:r>
      <w:r>
        <w:t> : Conserver les sauvegardes mensuelles pendant un an.</w:t>
      </w:r>
    </w:p>
    <w:p w14:paraId="1544511F" w14:textId="77777777" w:rsidR="00451334" w:rsidRDefault="00000000">
      <w:pPr>
        <w:pStyle w:val="Titre2"/>
      </w:pPr>
      <w:r>
        <w:rPr>
          <w:rStyle w:val="StrongEmphasis"/>
          <w:b/>
          <w:bCs w:val="0"/>
        </w:rPr>
        <w:t>Documentation et formation</w:t>
      </w:r>
    </w:p>
    <w:p w14:paraId="78E8C01D" w14:textId="77777777" w:rsidR="00451334" w:rsidRDefault="00000000">
      <w:pPr>
        <w:pStyle w:val="Textbody"/>
      </w:pPr>
      <w:r>
        <w:t>La politique de sauvegarde et de restauration doit être documentée en détail, avec :</w:t>
      </w:r>
    </w:p>
    <w:p w14:paraId="141F1F09" w14:textId="77777777" w:rsidR="00451334" w:rsidRDefault="00000000">
      <w:pPr>
        <w:pStyle w:val="Textbody"/>
        <w:numPr>
          <w:ilvl w:val="0"/>
          <w:numId w:val="32"/>
        </w:numPr>
        <w:tabs>
          <w:tab w:val="left" w:pos="709"/>
        </w:tabs>
      </w:pPr>
      <w:r>
        <w:rPr>
          <w:rStyle w:val="StrongEmphasis"/>
        </w:rPr>
        <w:t>Les procédures de sauvegarde</w:t>
      </w:r>
      <w:r>
        <w:t> : Quand, comment, et où sont effectuées les sauvegardes.</w:t>
      </w:r>
    </w:p>
    <w:p w14:paraId="08F6518C" w14:textId="77777777" w:rsidR="00451334" w:rsidRDefault="00000000">
      <w:pPr>
        <w:pStyle w:val="Textbody"/>
        <w:numPr>
          <w:ilvl w:val="0"/>
          <w:numId w:val="20"/>
        </w:numPr>
        <w:tabs>
          <w:tab w:val="left" w:pos="709"/>
        </w:tabs>
      </w:pPr>
      <w:r>
        <w:rPr>
          <w:rStyle w:val="StrongEmphasis"/>
        </w:rPr>
        <w:t>Les procédures de restauration</w:t>
      </w:r>
      <w:r>
        <w:t> : Étapes détaillées pour restaurer les systèmes et les données.</w:t>
      </w:r>
    </w:p>
    <w:p w14:paraId="6CA320F4" w14:textId="77777777" w:rsidR="00451334" w:rsidRDefault="00000000">
      <w:pPr>
        <w:pStyle w:val="Textbody"/>
        <w:numPr>
          <w:ilvl w:val="0"/>
          <w:numId w:val="20"/>
        </w:numPr>
        <w:tabs>
          <w:tab w:val="left" w:pos="709"/>
        </w:tabs>
      </w:pPr>
      <w:r>
        <w:rPr>
          <w:rStyle w:val="StrongEmphasis"/>
        </w:rPr>
        <w:t>Les contacts clés</w:t>
      </w:r>
      <w:r>
        <w:t> : Les personnes responsables de la gestion des sauvegardes et de la restauration.</w:t>
      </w:r>
    </w:p>
    <w:p w14:paraId="49341A37" w14:textId="77777777" w:rsidR="00451334" w:rsidRDefault="00000000">
      <w:pPr>
        <w:pStyle w:val="Textbody"/>
      </w:pPr>
      <w:r>
        <w:t>De plus, le personnel doit être formé pour savoir comment exécuter les processus de restauration en cas de besoin.</w:t>
      </w:r>
    </w:p>
    <w:p w14:paraId="6EDE8745" w14:textId="77777777" w:rsidR="00451334" w:rsidRDefault="00000000">
      <w:pPr>
        <w:pStyle w:val="Titre3"/>
      </w:pPr>
      <w:r>
        <w:t>Conclusion</w:t>
      </w:r>
    </w:p>
    <w:p w14:paraId="69F8535B" w14:textId="77777777" w:rsidR="00451334" w:rsidRDefault="00000000">
      <w:pPr>
        <w:pStyle w:val="Textbody"/>
      </w:pPr>
      <w:r>
        <w:t>La mise en place d’une politique de sauvegarde et de restauration d’un SI repose sur une approche méthodique qui inclut l’identification des besoins, le choix des solutions techniques, la sécurisation des données, et l’automatisation des processus. Une bonne politique garantit non seulement la protection des données critiques, mais aussi une capacité à récupérer rapidement après un sinistre, assurant ainsi la continuité des activités.</w:t>
      </w:r>
    </w:p>
    <w:p w14:paraId="76A2BC79" w14:textId="77777777" w:rsidR="00451334" w:rsidRDefault="00451334">
      <w:pPr>
        <w:pStyle w:val="Standard"/>
        <w:rPr>
          <w:b/>
          <w:bCs/>
          <w:sz w:val="28"/>
          <w:szCs w:val="28"/>
          <w:u w:val="single"/>
        </w:rPr>
      </w:pPr>
    </w:p>
    <w:sectPr w:rsidR="00451334">
      <w:headerReference w:type="default" r:id="rId8"/>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B290" w14:textId="77777777" w:rsidR="007F058A" w:rsidRDefault="007F058A">
      <w:pPr>
        <w:rPr>
          <w:rFonts w:hint="eastAsia"/>
        </w:rPr>
      </w:pPr>
      <w:r>
        <w:separator/>
      </w:r>
    </w:p>
  </w:endnote>
  <w:endnote w:type="continuationSeparator" w:id="0">
    <w:p w14:paraId="39DE0DDE" w14:textId="77777777" w:rsidR="007F058A" w:rsidRDefault="007F058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ntarell">
    <w:altName w:val="Calibr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00"/>
    <w:family w:val="roman"/>
    <w:pitch w:val="variable"/>
    <w:sig w:usb0="00000287" w:usb1="00000000" w:usb2="00000000" w:usb3="00000000" w:csb0="0000009F" w:csb1="00000000"/>
  </w:font>
  <w:font w:name="Linux Libertine G">
    <w:altName w:val="Cambria"/>
    <w:charset w:val="00"/>
    <w:family w:val="auto"/>
    <w:pitch w:val="variable"/>
  </w:font>
  <w:font w:name="DINOT-Bold">
    <w:charset w:val="00"/>
    <w:family w:val="auto"/>
    <w:pitch w:val="variable"/>
  </w:font>
  <w:font w:name="Liberation Mono">
    <w:charset w:val="00"/>
    <w:family w:val="modern"/>
    <w:pitch w:val="fixed"/>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78E3B" w14:textId="77777777" w:rsidR="00000000" w:rsidRDefault="00000000">
    <w:pPr>
      <w:pStyle w:val="Pieddepage"/>
      <w:jc w:val="center"/>
      <w:rPr>
        <w:sz w:val="22"/>
        <w:szCs w:val="22"/>
      </w:rPr>
    </w:pPr>
    <w:r>
      <w:rPr>
        <w:sz w:val="22"/>
        <w:szCs w:val="22"/>
      </w:rPr>
      <w:t>BTS CIEL-IR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fldChar w:fldCharType="begin"/>
    </w:r>
    <w:r>
      <w:rPr>
        <w:sz w:val="22"/>
        <w:szCs w:val="22"/>
      </w:rPr>
      <w:instrText xml:space="preserve"> PAGE </w:instrText>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NUMPAGES </w:instrText>
    </w:r>
    <w:r>
      <w:rPr>
        <w:sz w:val="22"/>
        <w:szCs w:val="22"/>
      </w:rPr>
      <w:fldChar w:fldCharType="separate"/>
    </w:r>
    <w:r>
      <w:rPr>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0A2E4" w14:textId="77777777" w:rsidR="007F058A" w:rsidRDefault="007F058A">
      <w:pPr>
        <w:rPr>
          <w:rFonts w:hint="eastAsia"/>
        </w:rPr>
      </w:pPr>
      <w:r>
        <w:rPr>
          <w:color w:val="000000"/>
        </w:rPr>
        <w:separator/>
      </w:r>
    </w:p>
  </w:footnote>
  <w:footnote w:type="continuationSeparator" w:id="0">
    <w:p w14:paraId="20B352D3" w14:textId="77777777" w:rsidR="007F058A" w:rsidRDefault="007F058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5" w:type="dxa"/>
      <w:tblLayout w:type="fixed"/>
      <w:tblCellMar>
        <w:left w:w="10" w:type="dxa"/>
        <w:right w:w="10" w:type="dxa"/>
      </w:tblCellMar>
      <w:tblLook w:val="0000" w:firstRow="0" w:lastRow="0" w:firstColumn="0" w:lastColumn="0" w:noHBand="0" w:noVBand="0"/>
    </w:tblPr>
    <w:tblGrid>
      <w:gridCol w:w="1592"/>
      <w:gridCol w:w="1927"/>
      <w:gridCol w:w="6116"/>
    </w:tblGrid>
    <w:tr w:rsidR="006124AF" w14:paraId="1E9AE3EB" w14:textId="77777777">
      <w:tblPrEx>
        <w:tblCellMar>
          <w:top w:w="0" w:type="dxa"/>
          <w:bottom w:w="0" w:type="dxa"/>
        </w:tblCellMar>
      </w:tblPrEx>
      <w:trPr>
        <w:tblHeader/>
      </w:trPr>
      <w:tc>
        <w:tcPr>
          <w:tcW w:w="1592" w:type="dxa"/>
          <w:tcBorders>
            <w:top w:val="single" w:sz="2" w:space="0" w:color="000000"/>
            <w:left w:val="single" w:sz="2" w:space="0" w:color="000000"/>
            <w:bottom w:val="single" w:sz="2" w:space="0" w:color="000000"/>
          </w:tcBorders>
          <w:tcMar>
            <w:top w:w="55" w:type="dxa"/>
            <w:left w:w="55" w:type="dxa"/>
            <w:bottom w:w="55" w:type="dxa"/>
            <w:right w:w="55" w:type="dxa"/>
          </w:tcMar>
        </w:tcPr>
        <w:p w14:paraId="18CD702E" w14:textId="77777777" w:rsidR="00000000" w:rsidRDefault="00000000">
          <w:pPr>
            <w:pStyle w:val="TableContents"/>
          </w:pPr>
          <w:r>
            <w:rPr>
              <w:noProof/>
            </w:rPr>
            <w:drawing>
              <wp:anchor distT="0" distB="0" distL="114300" distR="114300" simplePos="0" relativeHeight="251660288" behindDoc="0" locked="0" layoutInCell="1" allowOverlap="1" wp14:anchorId="6BBF60B1" wp14:editId="27ED612F">
                <wp:simplePos x="0" y="0"/>
                <wp:positionH relativeFrom="column">
                  <wp:align>center</wp:align>
                </wp:positionH>
                <wp:positionV relativeFrom="paragraph">
                  <wp:align>top</wp:align>
                </wp:positionV>
                <wp:extent cx="581040" cy="719280"/>
                <wp:effectExtent l="0" t="0" r="9510" b="4620"/>
                <wp:wrapSquare wrapText="bothSides"/>
                <wp:docPr id="1402960267"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81040" cy="719280"/>
                        </a:xfrm>
                        <a:prstGeom prst="rect">
                          <a:avLst/>
                        </a:prstGeom>
                        <a:noFill/>
                      </pic:spPr>
                    </pic:pic>
                  </a:graphicData>
                </a:graphic>
              </wp:anchor>
            </w:drawing>
          </w:r>
        </w:p>
        <w:p w14:paraId="1C554F75" w14:textId="77777777" w:rsidR="00000000" w:rsidRDefault="00000000">
          <w:pPr>
            <w:pStyle w:val="TableContents"/>
          </w:pPr>
        </w:p>
        <w:p w14:paraId="0FD5FE91" w14:textId="77777777" w:rsidR="00000000" w:rsidRDefault="00000000">
          <w:pPr>
            <w:pStyle w:val="TableContents"/>
          </w:pPr>
        </w:p>
        <w:p w14:paraId="1F93C9F5" w14:textId="77777777" w:rsidR="00000000" w:rsidRDefault="00000000">
          <w:pPr>
            <w:pStyle w:val="TableContents"/>
          </w:pP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03B78836" w14:textId="77777777" w:rsidR="00000000" w:rsidRDefault="00000000">
          <w:pPr>
            <w:pStyle w:val="Heading"/>
            <w:jc w:val="center"/>
            <w:rPr>
              <w:rFonts w:hint="eastAsia"/>
            </w:rPr>
          </w:pPr>
          <w:r>
            <w:rPr>
              <w:noProof/>
            </w:rPr>
            <w:drawing>
              <wp:anchor distT="0" distB="0" distL="114300" distR="114300" simplePos="0" relativeHeight="251659264" behindDoc="0" locked="0" layoutInCell="1" allowOverlap="1" wp14:anchorId="58B61DB7" wp14:editId="5D9EE6EC">
                <wp:simplePos x="0" y="0"/>
                <wp:positionH relativeFrom="column">
                  <wp:posOffset>0</wp:posOffset>
                </wp:positionH>
                <wp:positionV relativeFrom="paragraph">
                  <wp:posOffset>337680</wp:posOffset>
                </wp:positionV>
                <wp:extent cx="1153800" cy="403200"/>
                <wp:effectExtent l="0" t="0" r="8250" b="0"/>
                <wp:wrapSquare wrapText="bothSides"/>
                <wp:docPr id="1885094313"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1153800" cy="403200"/>
                        </a:xfrm>
                        <a:prstGeom prst="rect">
                          <a:avLst/>
                        </a:prstGeom>
                        <a:noFill/>
                      </pic:spPr>
                    </pic:pic>
                  </a:graphicData>
                </a:graphic>
              </wp:anchor>
            </w:drawing>
          </w:r>
          <w:r>
            <w:t>BTS CIEL_IR</w:t>
          </w:r>
        </w:p>
      </w:tc>
      <w:tc>
        <w:tcPr>
          <w:tcW w:w="61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2F128AE" w14:textId="77777777" w:rsidR="00000000" w:rsidRDefault="00000000">
          <w:pPr>
            <w:pStyle w:val="Heading"/>
            <w:jc w:val="center"/>
            <w:rPr>
              <w:rFonts w:hint="eastAsia"/>
              <w:bCs/>
              <w:szCs w:val="32"/>
            </w:rPr>
          </w:pPr>
          <w:r>
            <w:rPr>
              <w:bCs/>
              <w:szCs w:val="32"/>
            </w:rPr>
            <w:t>SI</w:t>
          </w:r>
        </w:p>
        <w:p w14:paraId="68B2635D" w14:textId="77777777" w:rsidR="00000000" w:rsidRDefault="00000000">
          <w:pPr>
            <w:pStyle w:val="Textbody"/>
            <w:jc w:val="center"/>
            <w:rPr>
              <w:rFonts w:eastAsia="Arial" w:cs="Arial"/>
              <w:b/>
              <w:bCs/>
              <w:color w:val="000000"/>
              <w:sz w:val="32"/>
              <w:szCs w:val="32"/>
            </w:rPr>
          </w:pPr>
          <w:r>
            <w:rPr>
              <w:rFonts w:eastAsia="Arial" w:cs="Arial"/>
              <w:b/>
              <w:bCs/>
              <w:color w:val="000000"/>
              <w:sz w:val="32"/>
              <w:szCs w:val="32"/>
            </w:rPr>
            <w:t>Politique de sauvegarde et restauration</w:t>
          </w:r>
        </w:p>
      </w:tc>
    </w:tr>
  </w:tbl>
  <w:p w14:paraId="37266EE3" w14:textId="77777777" w:rsidR="00000000"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E1F"/>
    <w:multiLevelType w:val="multilevel"/>
    <w:tmpl w:val="F12E064C"/>
    <w:styleLink w:val="Numbering1"/>
    <w:lvl w:ilvl="0">
      <w:start w:val="1"/>
      <w:numFmt w:val="decimal"/>
      <w:pStyle w:val="Tache"/>
      <w:lvlText w:val="Tâche%1."/>
      <w:lvlJc w:val="left"/>
      <w:pPr>
        <w:ind w:left="283" w:hanging="283"/>
      </w:pPr>
    </w:lvl>
    <w:lvl w:ilvl="1">
      <w:start w:val="1"/>
      <w:numFmt w:val="decimal"/>
      <w:lvlText w:val=" %1.%2 "/>
      <w:lvlJc w:val="left"/>
      <w:pPr>
        <w:ind w:left="567" w:hanging="283"/>
      </w:pPr>
    </w:lvl>
    <w:lvl w:ilvl="2">
      <w:start w:val="1"/>
      <w:numFmt w:val="decimal"/>
      <w:lvlText w:val=" %1.%2.%3 "/>
      <w:lvlJc w:val="left"/>
      <w:pPr>
        <w:ind w:left="850" w:hanging="283"/>
      </w:pPr>
    </w:lvl>
    <w:lvl w:ilvl="3">
      <w:start w:val="1"/>
      <w:numFmt w:val="decimal"/>
      <w:lvlText w:val=" %1.%2.%3.%4 "/>
      <w:lvlJc w:val="left"/>
      <w:pPr>
        <w:ind w:left="1134" w:hanging="283"/>
      </w:pPr>
    </w:lvl>
    <w:lvl w:ilvl="4">
      <w:start w:val="1"/>
      <w:numFmt w:val="decimal"/>
      <w:lvlText w:val=" %1.%2.%3.%4.%5 "/>
      <w:lvlJc w:val="left"/>
      <w:pPr>
        <w:ind w:left="1417" w:hanging="283"/>
      </w:pPr>
    </w:lvl>
    <w:lvl w:ilvl="5">
      <w:start w:val="1"/>
      <w:numFmt w:val="decimal"/>
      <w:lvlText w:val=" %1.%2.%3.%4.%5.%6 "/>
      <w:lvlJc w:val="left"/>
      <w:pPr>
        <w:ind w:left="1701" w:hanging="283"/>
      </w:pPr>
    </w:lvl>
    <w:lvl w:ilvl="6">
      <w:start w:val="1"/>
      <w:numFmt w:val="decimal"/>
      <w:lvlText w:val=" %1.%2.%3.%4.%5.%6.%7 "/>
      <w:lvlJc w:val="left"/>
      <w:pPr>
        <w:ind w:left="1984" w:hanging="283"/>
      </w:pPr>
    </w:lvl>
    <w:lvl w:ilvl="7">
      <w:start w:val="1"/>
      <w:numFmt w:val="decimal"/>
      <w:lvlText w:val=" %1.%2.%3.%4.%5.%6.%7.%8 "/>
      <w:lvlJc w:val="left"/>
      <w:pPr>
        <w:ind w:left="2268" w:hanging="283"/>
      </w:pPr>
    </w:lvl>
    <w:lvl w:ilvl="8">
      <w:start w:val="1"/>
      <w:numFmt w:val="decimal"/>
      <w:lvlText w:val=" %1.%2.%3.%4.%5.%6.%7.%8.%9 "/>
      <w:lvlJc w:val="left"/>
      <w:pPr>
        <w:ind w:left="2551" w:hanging="283"/>
      </w:pPr>
    </w:lvl>
  </w:abstractNum>
  <w:abstractNum w:abstractNumId="1" w15:restartNumberingAfterBreak="0">
    <w:nsid w:val="03A86FE0"/>
    <w:multiLevelType w:val="multilevel"/>
    <w:tmpl w:val="50CE822C"/>
    <w:styleLink w:val="WWNum24"/>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0A7A0E27"/>
    <w:multiLevelType w:val="multilevel"/>
    <w:tmpl w:val="1E6EA5EA"/>
    <w:styleLink w:val="WWNum8"/>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3" w15:restartNumberingAfterBreak="0">
    <w:nsid w:val="0BA32865"/>
    <w:multiLevelType w:val="multilevel"/>
    <w:tmpl w:val="AE7C806E"/>
    <w:styleLink w:val="WWNum10"/>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4" w15:restartNumberingAfterBreak="0">
    <w:nsid w:val="1DE05BF4"/>
    <w:multiLevelType w:val="multilevel"/>
    <w:tmpl w:val="CCCEB6BE"/>
    <w:styleLink w:val="WWNum25"/>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5" w15:restartNumberingAfterBreak="0">
    <w:nsid w:val="1F1D5AC1"/>
    <w:multiLevelType w:val="multilevel"/>
    <w:tmpl w:val="B5540982"/>
    <w:styleLink w:val="WWNum4"/>
    <w:lvl w:ilvl="0">
      <w:numFmt w:val="bullet"/>
      <w:lvlText w:val=""/>
      <w:lvlJc w:val="left"/>
      <w:pPr>
        <w:ind w:left="720" w:hanging="360"/>
      </w:pPr>
      <w:rPr>
        <w:rFonts w:ascii="Calibri" w:hAnsi="Calibri" w:cs="Symbol"/>
      </w:rPr>
    </w:lvl>
    <w:lvl w:ilvl="1">
      <w:numFmt w:val="bullet"/>
      <w:lvlText w:val="o"/>
      <w:lvlJc w:val="left"/>
      <w:pPr>
        <w:ind w:left="1440" w:hanging="360"/>
      </w:pPr>
      <w:rPr>
        <w:rFonts w:ascii="Calibri" w:hAnsi="Calibri" w:cs="Courier New"/>
      </w:rPr>
    </w:lvl>
    <w:lvl w:ilvl="2">
      <w:numFmt w:val="bullet"/>
      <w:lvlText w:val=""/>
      <w:lvlJc w:val="left"/>
      <w:pPr>
        <w:ind w:left="2160" w:hanging="360"/>
      </w:pPr>
      <w:rPr>
        <w:rFonts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Calibri" w:hAnsi="Calibri" w:cs="Courier New"/>
      </w:rPr>
    </w:lvl>
    <w:lvl w:ilvl="5">
      <w:numFmt w:val="bullet"/>
      <w:lvlText w:val=""/>
      <w:lvlJc w:val="left"/>
      <w:pPr>
        <w:ind w:left="4320" w:hanging="360"/>
      </w:pPr>
      <w:rPr>
        <w:rFonts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Calibri" w:hAnsi="Calibri" w:cs="Courier New"/>
      </w:rPr>
    </w:lvl>
    <w:lvl w:ilvl="8">
      <w:numFmt w:val="bullet"/>
      <w:lvlText w:val=""/>
      <w:lvlJc w:val="left"/>
      <w:pPr>
        <w:ind w:left="6480" w:hanging="360"/>
      </w:pPr>
      <w:rPr>
        <w:rFonts w:cs="Wingdings"/>
      </w:rPr>
    </w:lvl>
  </w:abstractNum>
  <w:abstractNum w:abstractNumId="6" w15:restartNumberingAfterBreak="0">
    <w:nsid w:val="24F15A63"/>
    <w:multiLevelType w:val="multilevel"/>
    <w:tmpl w:val="A54E4EE4"/>
    <w:styleLink w:val="WWNum3"/>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7" w15:restartNumberingAfterBreak="0">
    <w:nsid w:val="406D5001"/>
    <w:multiLevelType w:val="multilevel"/>
    <w:tmpl w:val="E3B659EC"/>
    <w:styleLink w:val="WWNum19"/>
    <w:lvl w:ilvl="0">
      <w:numFmt w:val="bullet"/>
      <w:lvlText w:val=""/>
      <w:lvlJc w:val="left"/>
      <w:pPr>
        <w:ind w:left="720" w:hanging="360"/>
      </w:pPr>
      <w:rPr>
        <w:rFonts w:ascii="Calibri" w:hAnsi="Calibri" w:cs="Symbol"/>
      </w:rPr>
    </w:lvl>
    <w:lvl w:ilvl="1">
      <w:numFmt w:val="bullet"/>
      <w:lvlText w:val="◦"/>
      <w:lvlJc w:val="left"/>
      <w:pPr>
        <w:ind w:left="1080" w:hanging="360"/>
      </w:pPr>
      <w:rPr>
        <w:rFonts w:cs="OpenSymbol"/>
      </w:rPr>
    </w:lvl>
    <w:lvl w:ilvl="2">
      <w:numFmt w:val="bullet"/>
      <w:lvlText w:val="▪"/>
      <w:lvlJc w:val="left"/>
      <w:pPr>
        <w:ind w:left="1440" w:hanging="360"/>
      </w:pPr>
      <w:rPr>
        <w:rFonts w:cs="OpenSymbol"/>
      </w:rPr>
    </w:lvl>
    <w:lvl w:ilvl="3">
      <w:numFmt w:val="bullet"/>
      <w:lvlText w:val=""/>
      <w:lvlJc w:val="left"/>
      <w:pPr>
        <w:ind w:left="1800" w:hanging="360"/>
      </w:pPr>
      <w:rPr>
        <w:rFonts w:ascii="Calibri" w:hAnsi="Calibri" w:cs="Symbol"/>
      </w:rPr>
    </w:lvl>
    <w:lvl w:ilvl="4">
      <w:numFmt w:val="bullet"/>
      <w:lvlText w:val="◦"/>
      <w:lvlJc w:val="left"/>
      <w:pPr>
        <w:ind w:left="2160" w:hanging="360"/>
      </w:pPr>
      <w:rPr>
        <w:rFonts w:cs="OpenSymbol"/>
      </w:rPr>
    </w:lvl>
    <w:lvl w:ilvl="5">
      <w:numFmt w:val="bullet"/>
      <w:lvlText w:val="▪"/>
      <w:lvlJc w:val="left"/>
      <w:pPr>
        <w:ind w:left="2520" w:hanging="360"/>
      </w:pPr>
      <w:rPr>
        <w:rFonts w:cs="OpenSymbol"/>
      </w:rPr>
    </w:lvl>
    <w:lvl w:ilvl="6">
      <w:numFmt w:val="bullet"/>
      <w:lvlText w:val=""/>
      <w:lvlJc w:val="left"/>
      <w:pPr>
        <w:ind w:left="2880" w:hanging="360"/>
      </w:pPr>
      <w:rPr>
        <w:rFonts w:ascii="Calibri" w:hAnsi="Calibri" w:cs="Symbol"/>
      </w:rPr>
    </w:lvl>
    <w:lvl w:ilvl="7">
      <w:numFmt w:val="bullet"/>
      <w:lvlText w:val="◦"/>
      <w:lvlJc w:val="left"/>
      <w:pPr>
        <w:ind w:left="3240" w:hanging="360"/>
      </w:pPr>
      <w:rPr>
        <w:rFonts w:cs="OpenSymbol"/>
      </w:rPr>
    </w:lvl>
    <w:lvl w:ilvl="8">
      <w:numFmt w:val="bullet"/>
      <w:lvlText w:val="▪"/>
      <w:lvlJc w:val="left"/>
      <w:pPr>
        <w:ind w:left="3600" w:hanging="360"/>
      </w:pPr>
      <w:rPr>
        <w:rFonts w:cs="OpenSymbol"/>
      </w:rPr>
    </w:lvl>
  </w:abstractNum>
  <w:abstractNum w:abstractNumId="8" w15:restartNumberingAfterBreak="0">
    <w:nsid w:val="40CD287C"/>
    <w:multiLevelType w:val="multilevel"/>
    <w:tmpl w:val="CF00E8C4"/>
    <w:styleLink w:val="Numbering3"/>
    <w:lvl w:ilvl="0">
      <w:start w:val="1"/>
      <w:numFmt w:val="decimal"/>
      <w:pStyle w:val="Lgende"/>
      <w:suff w:val="space"/>
      <w:lvlText w:val="Figure %1"/>
      <w:lvlJc w:val="left"/>
      <w:pPr>
        <w:ind w:left="1701" w:hanging="1701"/>
      </w:pPr>
    </w:lvl>
    <w:lvl w:ilvl="1">
      <w:start w:val="2"/>
      <w:numFmt w:val="decimal"/>
      <w:suff w:val="space"/>
      <w:lvlText w:val="Figure %2"/>
      <w:lvlJc w:val="left"/>
      <w:pPr>
        <w:ind w:left="3402" w:hanging="1701"/>
      </w:pPr>
    </w:lvl>
    <w:lvl w:ilvl="2">
      <w:start w:val="3"/>
      <w:numFmt w:val="decimal"/>
      <w:suff w:val="space"/>
      <w:lvlText w:val="Figure %3"/>
      <w:lvlJc w:val="left"/>
      <w:pPr>
        <w:ind w:left="5103" w:hanging="1701"/>
      </w:pPr>
    </w:lvl>
    <w:lvl w:ilvl="3">
      <w:start w:val="4"/>
      <w:numFmt w:val="decimal"/>
      <w:suff w:val="space"/>
      <w:lvlText w:val="Figure %4"/>
      <w:lvlJc w:val="left"/>
      <w:pPr>
        <w:ind w:left="6804" w:hanging="1701"/>
      </w:pPr>
    </w:lvl>
    <w:lvl w:ilvl="4">
      <w:start w:val="5"/>
      <w:numFmt w:val="decimal"/>
      <w:suff w:val="space"/>
      <w:lvlText w:val="Figure %5"/>
      <w:lvlJc w:val="left"/>
      <w:pPr>
        <w:ind w:left="8505" w:hanging="1701"/>
      </w:pPr>
    </w:lvl>
    <w:lvl w:ilvl="5">
      <w:start w:val="6"/>
      <w:numFmt w:val="decimal"/>
      <w:suff w:val="space"/>
      <w:lvlText w:val="Figure %6"/>
      <w:lvlJc w:val="left"/>
      <w:pPr>
        <w:ind w:left="10206" w:hanging="1701"/>
      </w:pPr>
    </w:lvl>
    <w:lvl w:ilvl="6">
      <w:start w:val="7"/>
      <w:numFmt w:val="decimal"/>
      <w:suff w:val="space"/>
      <w:lvlText w:val="Figure %7"/>
      <w:lvlJc w:val="left"/>
      <w:pPr>
        <w:ind w:left="11907" w:hanging="1701"/>
      </w:pPr>
    </w:lvl>
    <w:lvl w:ilvl="7">
      <w:start w:val="8"/>
      <w:numFmt w:val="decimal"/>
      <w:suff w:val="space"/>
      <w:lvlText w:val="Figure %8"/>
      <w:lvlJc w:val="left"/>
      <w:pPr>
        <w:ind w:left="13608" w:hanging="1701"/>
      </w:pPr>
    </w:lvl>
    <w:lvl w:ilvl="8">
      <w:start w:val="9"/>
      <w:numFmt w:val="decimal"/>
      <w:suff w:val="space"/>
      <w:lvlText w:val="Figure %9"/>
      <w:lvlJc w:val="left"/>
      <w:pPr>
        <w:ind w:left="15309" w:hanging="1701"/>
      </w:pPr>
    </w:lvl>
  </w:abstractNum>
  <w:abstractNum w:abstractNumId="9" w15:restartNumberingAfterBreak="0">
    <w:nsid w:val="45576C18"/>
    <w:multiLevelType w:val="multilevel"/>
    <w:tmpl w:val="62885D44"/>
    <w:styleLink w:val="WWNum20"/>
    <w:lvl w:ilvl="0">
      <w:numFmt w:val="bullet"/>
      <w:lvlText w:val=""/>
      <w:lvlJc w:val="left"/>
      <w:pPr>
        <w:ind w:left="720" w:hanging="360"/>
      </w:pPr>
      <w:rPr>
        <w:rFonts w:ascii="Calibri" w:hAnsi="Calibri" w:cs="Symbol"/>
      </w:rPr>
    </w:lvl>
    <w:lvl w:ilvl="1">
      <w:numFmt w:val="bullet"/>
      <w:lvlText w:val="◦"/>
      <w:lvlJc w:val="left"/>
      <w:pPr>
        <w:ind w:left="1080" w:hanging="360"/>
      </w:pPr>
      <w:rPr>
        <w:rFonts w:cs="OpenSymbol"/>
      </w:rPr>
    </w:lvl>
    <w:lvl w:ilvl="2">
      <w:numFmt w:val="bullet"/>
      <w:lvlText w:val="▪"/>
      <w:lvlJc w:val="left"/>
      <w:pPr>
        <w:ind w:left="1440" w:hanging="360"/>
      </w:pPr>
      <w:rPr>
        <w:rFonts w:cs="OpenSymbol"/>
      </w:rPr>
    </w:lvl>
    <w:lvl w:ilvl="3">
      <w:numFmt w:val="bullet"/>
      <w:lvlText w:val=""/>
      <w:lvlJc w:val="left"/>
      <w:pPr>
        <w:ind w:left="1800" w:hanging="360"/>
      </w:pPr>
      <w:rPr>
        <w:rFonts w:ascii="Calibri" w:hAnsi="Calibri" w:cs="Symbol"/>
      </w:rPr>
    </w:lvl>
    <w:lvl w:ilvl="4">
      <w:numFmt w:val="bullet"/>
      <w:lvlText w:val="◦"/>
      <w:lvlJc w:val="left"/>
      <w:pPr>
        <w:ind w:left="2160" w:hanging="360"/>
      </w:pPr>
      <w:rPr>
        <w:rFonts w:cs="OpenSymbol"/>
      </w:rPr>
    </w:lvl>
    <w:lvl w:ilvl="5">
      <w:numFmt w:val="bullet"/>
      <w:lvlText w:val="▪"/>
      <w:lvlJc w:val="left"/>
      <w:pPr>
        <w:ind w:left="2520" w:hanging="360"/>
      </w:pPr>
      <w:rPr>
        <w:rFonts w:cs="OpenSymbol"/>
      </w:rPr>
    </w:lvl>
    <w:lvl w:ilvl="6">
      <w:numFmt w:val="bullet"/>
      <w:lvlText w:val=""/>
      <w:lvlJc w:val="left"/>
      <w:pPr>
        <w:ind w:left="2880" w:hanging="360"/>
      </w:pPr>
      <w:rPr>
        <w:rFonts w:ascii="Calibri" w:hAnsi="Calibri" w:cs="Symbol"/>
      </w:rPr>
    </w:lvl>
    <w:lvl w:ilvl="7">
      <w:numFmt w:val="bullet"/>
      <w:lvlText w:val="◦"/>
      <w:lvlJc w:val="left"/>
      <w:pPr>
        <w:ind w:left="3240" w:hanging="360"/>
      </w:pPr>
      <w:rPr>
        <w:rFonts w:cs="OpenSymbol"/>
      </w:rPr>
    </w:lvl>
    <w:lvl w:ilvl="8">
      <w:numFmt w:val="bullet"/>
      <w:lvlText w:val="▪"/>
      <w:lvlJc w:val="left"/>
      <w:pPr>
        <w:ind w:left="3600" w:hanging="360"/>
      </w:pPr>
      <w:rPr>
        <w:rFonts w:cs="OpenSymbol"/>
      </w:rPr>
    </w:lvl>
  </w:abstractNum>
  <w:abstractNum w:abstractNumId="10" w15:restartNumberingAfterBreak="0">
    <w:nsid w:val="4A624EEC"/>
    <w:multiLevelType w:val="multilevel"/>
    <w:tmpl w:val="E7B6B6DA"/>
    <w:styleLink w:val="WWNum11"/>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11" w15:restartNumberingAfterBreak="0">
    <w:nsid w:val="52EE47B9"/>
    <w:multiLevelType w:val="multilevel"/>
    <w:tmpl w:val="97A87A5A"/>
    <w:styleLink w:val="Outline"/>
    <w:lvl w:ilvl="0">
      <w:start w:val="1"/>
      <w:numFmt w:val="upperRoman"/>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2" w15:restartNumberingAfterBreak="0">
    <w:nsid w:val="533907E2"/>
    <w:multiLevelType w:val="multilevel"/>
    <w:tmpl w:val="2D08180C"/>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13" w15:restartNumberingAfterBreak="0">
    <w:nsid w:val="551E1F33"/>
    <w:multiLevelType w:val="multilevel"/>
    <w:tmpl w:val="28C2E98A"/>
    <w:styleLink w:val="WWNum26"/>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4" w15:restartNumberingAfterBreak="0">
    <w:nsid w:val="58EB0062"/>
    <w:multiLevelType w:val="multilevel"/>
    <w:tmpl w:val="C2F6E87C"/>
    <w:styleLink w:val="WWNum5"/>
    <w:lvl w:ilvl="0">
      <w:numFmt w:val="bullet"/>
      <w:lvlText w:val=""/>
      <w:lvlJc w:val="left"/>
      <w:pPr>
        <w:ind w:left="720" w:hanging="360"/>
      </w:pPr>
      <w:rPr>
        <w:rFonts w:ascii="Calibri" w:hAnsi="Calibri" w:cs="Symbol"/>
      </w:rPr>
    </w:lvl>
    <w:lvl w:ilvl="1">
      <w:numFmt w:val="bullet"/>
      <w:lvlText w:val="o"/>
      <w:lvlJc w:val="left"/>
      <w:pPr>
        <w:ind w:left="1440" w:hanging="360"/>
      </w:pPr>
      <w:rPr>
        <w:rFonts w:ascii="Calibri" w:hAnsi="Calibri" w:cs="Courier New"/>
      </w:rPr>
    </w:lvl>
    <w:lvl w:ilvl="2">
      <w:numFmt w:val="bullet"/>
      <w:lvlText w:val=""/>
      <w:lvlJc w:val="left"/>
      <w:pPr>
        <w:ind w:left="2160" w:hanging="360"/>
      </w:pPr>
      <w:rPr>
        <w:rFonts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Calibri" w:hAnsi="Calibri" w:cs="Courier New"/>
      </w:rPr>
    </w:lvl>
    <w:lvl w:ilvl="5">
      <w:numFmt w:val="bullet"/>
      <w:lvlText w:val=""/>
      <w:lvlJc w:val="left"/>
      <w:pPr>
        <w:ind w:left="4320" w:hanging="360"/>
      </w:pPr>
      <w:rPr>
        <w:rFonts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Calibri" w:hAnsi="Calibri" w:cs="Courier New"/>
      </w:rPr>
    </w:lvl>
    <w:lvl w:ilvl="8">
      <w:numFmt w:val="bullet"/>
      <w:lvlText w:val=""/>
      <w:lvlJc w:val="left"/>
      <w:pPr>
        <w:ind w:left="6480" w:hanging="360"/>
      </w:pPr>
      <w:rPr>
        <w:rFonts w:cs="Wingdings"/>
      </w:rPr>
    </w:lvl>
  </w:abstractNum>
  <w:abstractNum w:abstractNumId="15" w15:restartNumberingAfterBreak="0">
    <w:nsid w:val="5D6D7B68"/>
    <w:multiLevelType w:val="multilevel"/>
    <w:tmpl w:val="2AEC12D0"/>
    <w:styleLink w:val="WWNum9"/>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16" w15:restartNumberingAfterBreak="0">
    <w:nsid w:val="644A265D"/>
    <w:multiLevelType w:val="multilevel"/>
    <w:tmpl w:val="DAD6F47A"/>
    <w:styleLink w:val="WWNum6"/>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17" w15:restartNumberingAfterBreak="0">
    <w:nsid w:val="680D027D"/>
    <w:multiLevelType w:val="multilevel"/>
    <w:tmpl w:val="5B344656"/>
    <w:styleLink w:val="WWNum12"/>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abstractNum w:abstractNumId="18" w15:restartNumberingAfterBreak="0">
    <w:nsid w:val="738D27C6"/>
    <w:multiLevelType w:val="multilevel"/>
    <w:tmpl w:val="147C4E28"/>
    <w:styleLink w:val="WWNum2"/>
    <w:lvl w:ilvl="0">
      <w:numFmt w:val="bullet"/>
      <w:lvlText w:val=""/>
      <w:lvlJc w:val="left"/>
      <w:pPr>
        <w:ind w:left="720" w:hanging="360"/>
      </w:pPr>
      <w:rPr>
        <w:rFonts w:ascii="Cambria" w:hAnsi="Cambria" w:cs="Symbol"/>
      </w:rPr>
    </w:lvl>
    <w:lvl w:ilvl="1">
      <w:numFmt w:val="bullet"/>
      <w:lvlText w:val="◦"/>
      <w:lvlJc w:val="left"/>
      <w:pPr>
        <w:ind w:left="1080" w:hanging="360"/>
      </w:pPr>
      <w:rPr>
        <w:rFonts w:ascii="Cambria" w:hAnsi="Cambria" w:cs="OpenSymbol"/>
      </w:rPr>
    </w:lvl>
    <w:lvl w:ilvl="2">
      <w:numFmt w:val="bullet"/>
      <w:lvlText w:val="▪"/>
      <w:lvlJc w:val="left"/>
      <w:pPr>
        <w:ind w:left="1440" w:hanging="360"/>
      </w:pPr>
      <w:rPr>
        <w:rFonts w:ascii="Cambria" w:hAnsi="Cambria" w:cs="OpenSymbol"/>
      </w:rPr>
    </w:lvl>
    <w:lvl w:ilvl="3">
      <w:numFmt w:val="bullet"/>
      <w:lvlText w:val=""/>
      <w:lvlJc w:val="left"/>
      <w:pPr>
        <w:ind w:left="1800" w:hanging="360"/>
      </w:pPr>
      <w:rPr>
        <w:rFonts w:ascii="Cambria" w:hAnsi="Cambria" w:cs="Symbol"/>
      </w:rPr>
    </w:lvl>
    <w:lvl w:ilvl="4">
      <w:numFmt w:val="bullet"/>
      <w:lvlText w:val="◦"/>
      <w:lvlJc w:val="left"/>
      <w:pPr>
        <w:ind w:left="2160" w:hanging="360"/>
      </w:pPr>
      <w:rPr>
        <w:rFonts w:ascii="Cambria" w:hAnsi="Cambria" w:cs="OpenSymbol"/>
      </w:rPr>
    </w:lvl>
    <w:lvl w:ilvl="5">
      <w:numFmt w:val="bullet"/>
      <w:lvlText w:val="▪"/>
      <w:lvlJc w:val="left"/>
      <w:pPr>
        <w:ind w:left="2520" w:hanging="360"/>
      </w:pPr>
      <w:rPr>
        <w:rFonts w:ascii="Cambria" w:hAnsi="Cambria" w:cs="OpenSymbol"/>
      </w:rPr>
    </w:lvl>
    <w:lvl w:ilvl="6">
      <w:numFmt w:val="bullet"/>
      <w:lvlText w:val=""/>
      <w:lvlJc w:val="left"/>
      <w:pPr>
        <w:ind w:left="2880" w:hanging="360"/>
      </w:pPr>
      <w:rPr>
        <w:rFonts w:ascii="Cambria" w:hAnsi="Cambria" w:cs="Symbol"/>
      </w:rPr>
    </w:lvl>
    <w:lvl w:ilvl="7">
      <w:numFmt w:val="bullet"/>
      <w:lvlText w:val="◦"/>
      <w:lvlJc w:val="left"/>
      <w:pPr>
        <w:ind w:left="3240" w:hanging="360"/>
      </w:pPr>
      <w:rPr>
        <w:rFonts w:ascii="Cambria" w:hAnsi="Cambria" w:cs="OpenSymbol"/>
      </w:rPr>
    </w:lvl>
    <w:lvl w:ilvl="8">
      <w:numFmt w:val="bullet"/>
      <w:lvlText w:val="▪"/>
      <w:lvlJc w:val="left"/>
      <w:pPr>
        <w:ind w:left="3600" w:hanging="360"/>
      </w:pPr>
      <w:rPr>
        <w:rFonts w:ascii="Cambria" w:hAnsi="Cambria" w:cs="OpenSymbol"/>
      </w:rPr>
    </w:lvl>
  </w:abstractNum>
  <w:abstractNum w:abstractNumId="19" w15:restartNumberingAfterBreak="0">
    <w:nsid w:val="7A6D0700"/>
    <w:multiLevelType w:val="multilevel"/>
    <w:tmpl w:val="724AFD0A"/>
    <w:styleLink w:val="Numbering5"/>
    <w:lvl w:ilvl="0">
      <w:start w:val="1"/>
      <w:numFmt w:val="decimal"/>
      <w:pStyle w:val="Questions"/>
      <w:lvlText w:val="Q%1."/>
      <w:lvlJc w:val="left"/>
      <w:pPr>
        <w:ind w:left="227" w:hanging="227"/>
      </w:pPr>
    </w:lvl>
    <w:lvl w:ilvl="1">
      <w:start w:val="2"/>
      <w:numFmt w:val="decimal"/>
      <w:lvlText w:val="Q%1.%2."/>
      <w:lvlJc w:val="left"/>
      <w:pPr>
        <w:ind w:left="624" w:hanging="369"/>
      </w:pPr>
    </w:lvl>
    <w:lvl w:ilvl="2">
      <w:start w:val="3"/>
      <w:numFmt w:val="lowerLetter"/>
      <w:lvlText w:val="Q%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20" w15:restartNumberingAfterBreak="0">
    <w:nsid w:val="7EF962F8"/>
    <w:multiLevelType w:val="multilevel"/>
    <w:tmpl w:val="FC0E6E8C"/>
    <w:styleLink w:val="WWNum7"/>
    <w:lvl w:ilvl="0">
      <w:numFmt w:val="bullet"/>
      <w:lvlText w:val=""/>
      <w:lvlJc w:val="left"/>
      <w:pPr>
        <w:ind w:left="709" w:hanging="283"/>
      </w:pPr>
      <w:rPr>
        <w:rFonts w:ascii="Cambria" w:hAnsi="Cambria" w:cs="Symbol"/>
      </w:rPr>
    </w:lvl>
    <w:lvl w:ilvl="1">
      <w:numFmt w:val="bullet"/>
      <w:lvlText w:val=""/>
      <w:lvlJc w:val="left"/>
      <w:pPr>
        <w:ind w:left="1418" w:hanging="283"/>
      </w:pPr>
      <w:rPr>
        <w:rFonts w:ascii="Cambria" w:hAnsi="Cambria" w:cs="Symbol"/>
      </w:rPr>
    </w:lvl>
    <w:lvl w:ilvl="2">
      <w:numFmt w:val="bullet"/>
      <w:lvlText w:val=""/>
      <w:lvlJc w:val="left"/>
      <w:pPr>
        <w:ind w:left="2127" w:hanging="283"/>
      </w:pPr>
      <w:rPr>
        <w:rFonts w:ascii="Cambria" w:hAnsi="Cambria" w:cs="Symbol"/>
      </w:rPr>
    </w:lvl>
    <w:lvl w:ilvl="3">
      <w:numFmt w:val="bullet"/>
      <w:lvlText w:val=""/>
      <w:lvlJc w:val="left"/>
      <w:pPr>
        <w:ind w:left="2836" w:hanging="283"/>
      </w:pPr>
      <w:rPr>
        <w:rFonts w:ascii="Cambria" w:hAnsi="Cambria" w:cs="Symbol"/>
      </w:rPr>
    </w:lvl>
    <w:lvl w:ilvl="4">
      <w:numFmt w:val="bullet"/>
      <w:lvlText w:val=""/>
      <w:lvlJc w:val="left"/>
      <w:pPr>
        <w:ind w:left="3545" w:hanging="283"/>
      </w:pPr>
      <w:rPr>
        <w:rFonts w:ascii="Cambria" w:hAnsi="Cambria" w:cs="Symbol"/>
      </w:rPr>
    </w:lvl>
    <w:lvl w:ilvl="5">
      <w:numFmt w:val="bullet"/>
      <w:lvlText w:val=""/>
      <w:lvlJc w:val="left"/>
      <w:pPr>
        <w:ind w:left="4254" w:hanging="283"/>
      </w:pPr>
      <w:rPr>
        <w:rFonts w:ascii="Cambria" w:hAnsi="Cambria" w:cs="Symbol"/>
      </w:rPr>
    </w:lvl>
    <w:lvl w:ilvl="6">
      <w:numFmt w:val="bullet"/>
      <w:lvlText w:val=""/>
      <w:lvlJc w:val="left"/>
      <w:pPr>
        <w:ind w:left="4963" w:hanging="283"/>
      </w:pPr>
      <w:rPr>
        <w:rFonts w:ascii="Cambria" w:hAnsi="Cambria" w:cs="Symbol"/>
      </w:rPr>
    </w:lvl>
    <w:lvl w:ilvl="7">
      <w:numFmt w:val="bullet"/>
      <w:lvlText w:val=""/>
      <w:lvlJc w:val="left"/>
      <w:pPr>
        <w:ind w:left="5672" w:hanging="283"/>
      </w:pPr>
      <w:rPr>
        <w:rFonts w:ascii="Cambria" w:hAnsi="Cambria" w:cs="Symbol"/>
      </w:rPr>
    </w:lvl>
    <w:lvl w:ilvl="8">
      <w:numFmt w:val="bullet"/>
      <w:lvlText w:val=""/>
      <w:lvlJc w:val="left"/>
      <w:pPr>
        <w:ind w:left="6381" w:hanging="283"/>
      </w:pPr>
      <w:rPr>
        <w:rFonts w:ascii="Cambria" w:hAnsi="Cambria" w:cs="Symbol"/>
      </w:rPr>
    </w:lvl>
  </w:abstractNum>
  <w:num w:numId="1" w16cid:durableId="379134647">
    <w:abstractNumId w:val="11"/>
  </w:num>
  <w:num w:numId="2" w16cid:durableId="4022703">
    <w:abstractNumId w:val="0"/>
  </w:num>
  <w:num w:numId="3" w16cid:durableId="859466894">
    <w:abstractNumId w:val="8"/>
  </w:num>
  <w:num w:numId="4" w16cid:durableId="1820459961">
    <w:abstractNumId w:val="12"/>
  </w:num>
  <w:num w:numId="5" w16cid:durableId="388650183">
    <w:abstractNumId w:val="19"/>
  </w:num>
  <w:num w:numId="6" w16cid:durableId="443382407">
    <w:abstractNumId w:val="5"/>
  </w:num>
  <w:num w:numId="7" w16cid:durableId="787309626">
    <w:abstractNumId w:val="14"/>
  </w:num>
  <w:num w:numId="8" w16cid:durableId="633488206">
    <w:abstractNumId w:val="7"/>
  </w:num>
  <w:num w:numId="9" w16cid:durableId="636106558">
    <w:abstractNumId w:val="9"/>
  </w:num>
  <w:num w:numId="10" w16cid:durableId="679281334">
    <w:abstractNumId w:val="1"/>
  </w:num>
  <w:num w:numId="11" w16cid:durableId="516189490">
    <w:abstractNumId w:val="4"/>
  </w:num>
  <w:num w:numId="12" w16cid:durableId="1836921189">
    <w:abstractNumId w:val="13"/>
  </w:num>
  <w:num w:numId="13" w16cid:durableId="1960994074">
    <w:abstractNumId w:val="6"/>
  </w:num>
  <w:num w:numId="14" w16cid:durableId="1469474101">
    <w:abstractNumId w:val="16"/>
  </w:num>
  <w:num w:numId="15" w16cid:durableId="1182011502">
    <w:abstractNumId w:val="20"/>
  </w:num>
  <w:num w:numId="16" w16cid:durableId="1048869911">
    <w:abstractNumId w:val="2"/>
  </w:num>
  <w:num w:numId="17" w16cid:durableId="265116584">
    <w:abstractNumId w:val="15"/>
  </w:num>
  <w:num w:numId="18" w16cid:durableId="1009138206">
    <w:abstractNumId w:val="3"/>
  </w:num>
  <w:num w:numId="19" w16cid:durableId="638191608">
    <w:abstractNumId w:val="10"/>
  </w:num>
  <w:num w:numId="20" w16cid:durableId="1434746264">
    <w:abstractNumId w:val="17"/>
  </w:num>
  <w:num w:numId="21" w16cid:durableId="1509448109">
    <w:abstractNumId w:val="18"/>
  </w:num>
  <w:num w:numId="22" w16cid:durableId="1640111310">
    <w:abstractNumId w:val="6"/>
    <w:lvlOverride w:ilvl="0"/>
  </w:num>
  <w:num w:numId="23" w16cid:durableId="270164042">
    <w:abstractNumId w:val="5"/>
    <w:lvlOverride w:ilvl="0"/>
  </w:num>
  <w:num w:numId="24" w16cid:durableId="165638178">
    <w:abstractNumId w:val="8"/>
    <w:lvlOverride w:ilvl="0">
      <w:startOverride w:val="1"/>
    </w:lvlOverride>
  </w:num>
  <w:num w:numId="25" w16cid:durableId="1496385698">
    <w:abstractNumId w:val="14"/>
    <w:lvlOverride w:ilvl="0"/>
  </w:num>
  <w:num w:numId="26" w16cid:durableId="142890597">
    <w:abstractNumId w:val="16"/>
    <w:lvlOverride w:ilvl="0"/>
  </w:num>
  <w:num w:numId="27" w16cid:durableId="403601547">
    <w:abstractNumId w:val="20"/>
    <w:lvlOverride w:ilvl="0"/>
  </w:num>
  <w:num w:numId="28" w16cid:durableId="523370645">
    <w:abstractNumId w:val="2"/>
    <w:lvlOverride w:ilvl="0"/>
  </w:num>
  <w:num w:numId="29" w16cid:durableId="1815676372">
    <w:abstractNumId w:val="15"/>
    <w:lvlOverride w:ilvl="0"/>
  </w:num>
  <w:num w:numId="30" w16cid:durableId="1730616012">
    <w:abstractNumId w:val="3"/>
    <w:lvlOverride w:ilvl="0"/>
  </w:num>
  <w:num w:numId="31" w16cid:durableId="316883583">
    <w:abstractNumId w:val="10"/>
    <w:lvlOverride w:ilvl="0"/>
  </w:num>
  <w:num w:numId="32" w16cid:durableId="882445139">
    <w:abstractNumId w:val="17"/>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451334"/>
    <w:rsid w:val="001D76AB"/>
    <w:rsid w:val="00451334"/>
    <w:rsid w:val="006F5085"/>
    <w:rsid w:val="007F0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29D2"/>
  <w15:docId w15:val="{A7D9CB10-6B4C-4881-BDAA-B22721C4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ucida Sans"/>
        <w:kern w:val="3"/>
        <w:sz w:val="24"/>
        <w:szCs w:val="24"/>
        <w:lang w:val="fr-FR"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Heading"/>
    <w:next w:val="Textbody"/>
    <w:uiPriority w:val="9"/>
    <w:qFormat/>
    <w:pPr>
      <w:numPr>
        <w:numId w:val="1"/>
      </w:numPr>
      <w:outlineLvl w:val="0"/>
    </w:pPr>
    <w:rPr>
      <w:rFonts w:eastAsia="Cantarell" w:cs="Cantarell"/>
    </w:rPr>
  </w:style>
  <w:style w:type="paragraph" w:styleId="Titre2">
    <w:name w:val="heading 2"/>
    <w:basedOn w:val="Heading"/>
    <w:next w:val="Textbody"/>
    <w:uiPriority w:val="9"/>
    <w:unhideWhenUsed/>
    <w:qFormat/>
    <w:pPr>
      <w:numPr>
        <w:ilvl w:val="1"/>
        <w:numId w:val="1"/>
      </w:numPr>
      <w:outlineLvl w:val="1"/>
    </w:pPr>
    <w:rPr>
      <w:rFonts w:eastAsia="Cantarell" w:cs="Cantarell"/>
    </w:rPr>
  </w:style>
  <w:style w:type="paragraph" w:styleId="Titre3">
    <w:name w:val="heading 3"/>
    <w:basedOn w:val="Heading"/>
    <w:next w:val="Textbody"/>
    <w:uiPriority w:val="9"/>
    <w:unhideWhenUsed/>
    <w:qFormat/>
    <w:pPr>
      <w:numPr>
        <w:ilvl w:val="2"/>
        <w:numId w:val="1"/>
      </w:numPr>
      <w:spacing w:before="140" w:after="120"/>
      <w:outlineLvl w:val="2"/>
    </w:pPr>
    <w:rPr>
      <w:rFonts w:eastAsia="Cantarell" w:cs="Cantarell"/>
    </w:rPr>
  </w:style>
  <w:style w:type="paragraph" w:styleId="Titre4">
    <w:name w:val="heading 4"/>
    <w:basedOn w:val="Heading"/>
    <w:uiPriority w:val="9"/>
    <w:semiHidden/>
    <w:unhideWhenUsed/>
    <w:qFormat/>
    <w:pPr>
      <w:outlineLvl w:val="3"/>
    </w:pPr>
    <w:rPr>
      <w:rFonts w:eastAsia="Cantarell" w:cs="Cantarell"/>
    </w:rPr>
  </w:style>
  <w:style w:type="paragraph" w:styleId="Titre5">
    <w:name w:val="heading 5"/>
    <w:basedOn w:val="Heading"/>
    <w:uiPriority w:val="9"/>
    <w:semiHidden/>
    <w:unhideWhenUsed/>
    <w:qFormat/>
    <w:pPr>
      <w:outlineLvl w:val="4"/>
    </w:pPr>
  </w:style>
  <w:style w:type="paragraph" w:styleId="Titre6">
    <w:name w:val="heading 6"/>
    <w:basedOn w:val="Heading"/>
    <w:uiPriority w:val="9"/>
    <w:semiHidden/>
    <w:unhideWhenUsed/>
    <w:qFormat/>
    <w:pPr>
      <w:outlineLvl w:val="5"/>
    </w:pPr>
  </w:style>
  <w:style w:type="paragraph" w:styleId="Titre7">
    <w:name w:val="heading 7"/>
    <w:basedOn w:val="Heading"/>
    <w:pPr>
      <w:outlineLvl w:val="6"/>
    </w:pPr>
  </w:style>
  <w:style w:type="paragraph" w:styleId="Titre8">
    <w:name w:val="heading 8"/>
    <w:basedOn w:val="Heading"/>
    <w:pPr>
      <w:outlineLvl w:val="7"/>
    </w:pPr>
  </w:style>
  <w:style w:type="paragraph" w:styleId="Titre9">
    <w:name w:val="heading 9"/>
    <w:basedOn w:val="Heading"/>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rPr>
      <w:rFonts w:ascii="Cantarell" w:eastAsia="Cantarell" w:hAnsi="Cantarell" w:cs="Cantarell"/>
      <w:sz w:val="21"/>
    </w:rPr>
  </w:style>
  <w:style w:type="paragraph" w:customStyle="1" w:styleId="Heading">
    <w:name w:val="Heading"/>
    <w:basedOn w:val="Standard"/>
    <w:next w:val="Textbody"/>
    <w:pPr>
      <w:keepNext/>
      <w:spacing w:before="113" w:after="113"/>
    </w:pPr>
    <w:rPr>
      <w:rFonts w:eastAsia="Microsoft YaHei" w:cs="Lucida Sans"/>
      <w:b/>
      <w:sz w:val="32"/>
      <w:szCs w:val="28"/>
    </w:rPr>
  </w:style>
  <w:style w:type="paragraph" w:customStyle="1" w:styleId="Textbody">
    <w:name w:val="Text body"/>
    <w:basedOn w:val="Standard"/>
    <w:pPr>
      <w:spacing w:line="288" w:lineRule="auto"/>
    </w:pPr>
    <w:rPr>
      <w:sz w:val="24"/>
    </w:rPr>
  </w:style>
  <w:style w:type="paragraph" w:styleId="Liste">
    <w:name w:val="List"/>
    <w:basedOn w:val="Textbody"/>
    <w:rPr>
      <w:rFonts w:cs="Lucida Sans"/>
    </w:rPr>
  </w:style>
  <w:style w:type="paragraph" w:styleId="Lgende">
    <w:name w:val="caption"/>
    <w:basedOn w:val="Standard"/>
    <w:pPr>
      <w:numPr>
        <w:numId w:val="3"/>
      </w:numPr>
      <w:suppressLineNumbers/>
      <w:spacing w:before="113" w:after="113"/>
      <w:jc w:val="center"/>
      <w:outlineLvl w:val="2"/>
    </w:pPr>
    <w:rPr>
      <w:rFonts w:ascii="Garamond" w:eastAsia="Garamond" w:hAnsi="Garamond" w:cs="Lucida Sans"/>
      <w:i/>
      <w:iCs/>
      <w:sz w:val="24"/>
    </w:rPr>
  </w:style>
  <w:style w:type="paragraph" w:customStyle="1" w:styleId="Index">
    <w:name w:val="Index"/>
    <w:basedOn w:val="Standard"/>
    <w:pPr>
      <w:suppressLineNumbers/>
    </w:pPr>
    <w:rPr>
      <w:rFonts w:cs="Lucida Sans"/>
      <w:sz w:val="24"/>
    </w:rPr>
  </w:style>
  <w:style w:type="paragraph" w:customStyle="1" w:styleId="TableContents">
    <w:name w:val="Table Contents"/>
    <w:basedOn w:val="Standard"/>
    <w:pPr>
      <w:suppressLineNumbers/>
    </w:pPr>
    <w:rPr>
      <w:rFonts w:ascii="Linux Libertine G" w:eastAsia="Linux Libertine G" w:hAnsi="Linux Libertine G" w:cs="Linux Libertine G"/>
    </w:rPr>
  </w:style>
  <w:style w:type="paragraph" w:customStyle="1" w:styleId="TableHeading">
    <w:name w:val="Table Heading"/>
    <w:basedOn w:val="TableContents"/>
  </w:style>
  <w:style w:type="paragraph" w:customStyle="1" w:styleId="PreformattedText">
    <w:name w:val="Preformatted Text"/>
    <w:basedOn w:val="Standard"/>
  </w:style>
  <w:style w:type="paragraph" w:customStyle="1" w:styleId="Code">
    <w:name w:val="Code"/>
    <w:basedOn w:val="Standard"/>
    <w:pPr>
      <w:pBdr>
        <w:top w:val="single" w:sz="2" w:space="1" w:color="000000"/>
        <w:left w:val="single" w:sz="2" w:space="1" w:color="000000"/>
        <w:bottom w:val="single" w:sz="2" w:space="1" w:color="000000"/>
        <w:right w:val="single" w:sz="2" w:space="1" w:color="000000"/>
      </w:pBdr>
      <w:shd w:val="clear" w:color="auto" w:fill="EEEEEE"/>
      <w:spacing w:after="57"/>
    </w:pPr>
    <w:rPr>
      <w:rFonts w:ascii="Courier New" w:eastAsia="Courier New" w:hAnsi="Courier New" w:cs="Courier New"/>
    </w:rPr>
  </w:style>
  <w:style w:type="paragraph" w:styleId="Titreindex">
    <w:name w:val="index heading"/>
    <w:basedOn w:val="Heading"/>
  </w:style>
  <w:style w:type="paragraph" w:customStyle="1" w:styleId="ContentsHeading">
    <w:name w:val="Contents Heading"/>
    <w:basedOn w:val="Heading"/>
  </w:style>
  <w:style w:type="paragraph" w:customStyle="1" w:styleId="Contents1">
    <w:name w:val="Contents 1"/>
    <w:basedOn w:val="Index"/>
  </w:style>
  <w:style w:type="paragraph" w:customStyle="1" w:styleId="Contents2">
    <w:name w:val="Contents 2"/>
    <w:basedOn w:val="Index"/>
  </w:style>
  <w:style w:type="paragraph" w:customStyle="1" w:styleId="Contents3">
    <w:name w:val="Contents 3"/>
    <w:basedOn w:val="Index"/>
  </w:style>
  <w:style w:type="paragraph" w:customStyle="1" w:styleId="HeaderandFooter">
    <w:name w:val="Header and Footer"/>
    <w:basedOn w:val="Standard"/>
  </w:style>
  <w:style w:type="paragraph" w:styleId="Pieddepage">
    <w:name w:val="footer"/>
    <w:basedOn w:val="Standard"/>
  </w:style>
  <w:style w:type="paragraph" w:styleId="Sous-titre">
    <w:name w:val="Subtitle"/>
    <w:basedOn w:val="Heading"/>
    <w:uiPriority w:val="11"/>
    <w:qFormat/>
    <w:pPr>
      <w:spacing w:before="57" w:after="57"/>
    </w:pPr>
    <w:rPr>
      <w:sz w:val="26"/>
    </w:rPr>
  </w:style>
  <w:style w:type="paragraph" w:customStyle="1" w:styleId="Questions">
    <w:name w:val="Questions"/>
    <w:basedOn w:val="Textbody"/>
    <w:next w:val="Textbody"/>
    <w:pPr>
      <w:numPr>
        <w:numId w:val="5"/>
      </w:numPr>
      <w:outlineLvl w:val="2"/>
    </w:pPr>
    <w:rPr>
      <w:sz w:val="21"/>
    </w:rPr>
  </w:style>
  <w:style w:type="paragraph" w:styleId="Titre">
    <w:name w:val="Title"/>
    <w:basedOn w:val="Heading"/>
    <w:uiPriority w:val="10"/>
    <w:qFormat/>
    <w:rPr>
      <w:rFonts w:ascii="Garamond" w:eastAsia="Garamond" w:hAnsi="Garamond" w:cs="Garamond"/>
    </w:rPr>
  </w:style>
  <w:style w:type="paragraph" w:styleId="En-tte">
    <w:name w:val="header"/>
    <w:basedOn w:val="Standard"/>
  </w:style>
  <w:style w:type="paragraph" w:customStyle="1" w:styleId="Encadr">
    <w:name w:val="Encadré"/>
    <w:basedOn w:val="Code"/>
    <w:next w:val="Textbody"/>
    <w:rPr>
      <w:rFonts w:ascii="Cantarell" w:eastAsia="Cantarell" w:hAnsi="Cantarell" w:cs="Cantarell"/>
      <w:b/>
      <w:sz w:val="24"/>
    </w:rPr>
  </w:style>
  <w:style w:type="paragraph" w:customStyle="1" w:styleId="Framecontents">
    <w:name w:val="Frame contents"/>
    <w:basedOn w:val="Standard"/>
  </w:style>
  <w:style w:type="paragraph" w:customStyle="1" w:styleId="EncadreTitre">
    <w:name w:val="Encadre Titre"/>
    <w:basedOn w:val="Standard"/>
    <w:pPr>
      <w:widowControl w:val="0"/>
      <w:spacing w:before="280" w:after="280" w:line="240" w:lineRule="atLeast"/>
      <w:ind w:left="-284"/>
      <w:textAlignment w:val="center"/>
    </w:pPr>
    <w:rPr>
      <w:rFonts w:cs="DINOT-Bold"/>
      <w:caps/>
      <w:szCs w:val="20"/>
    </w:rPr>
  </w:style>
  <w:style w:type="paragraph" w:customStyle="1" w:styleId="Tache">
    <w:name w:val="Tache"/>
    <w:basedOn w:val="Textbody"/>
    <w:next w:val="Textbody"/>
    <w:pPr>
      <w:numPr>
        <w:numId w:val="2"/>
      </w:numPr>
      <w:outlineLvl w:val="5"/>
    </w:pPr>
  </w:style>
  <w:style w:type="paragraph" w:customStyle="1" w:styleId="Sender">
    <w:name w:val="Sender"/>
    <w:basedOn w:val="Standard"/>
  </w:style>
  <w:style w:type="paragraph" w:customStyle="1" w:styleId="Heading10">
    <w:name w:val="Heading 10"/>
    <w:basedOn w:val="Heading"/>
  </w:style>
  <w:style w:type="paragraph" w:customStyle="1" w:styleId="StandardWW">
    <w:name w:val="Standard (WW)"/>
    <w:rPr>
      <w:rFonts w:ascii="Cantarell" w:eastAsia="Cantarell" w:hAnsi="Cantarell" w:cs="Cantarell"/>
      <w:kern w:val="0"/>
      <w:sz w:val="22"/>
    </w:rPr>
  </w:style>
  <w:style w:type="paragraph" w:customStyle="1" w:styleId="FigureIndex1">
    <w:name w:val="Figure Index 1"/>
    <w:basedOn w:val="Lgende"/>
  </w:style>
  <w:style w:type="character" w:customStyle="1" w:styleId="NumberingSymbols">
    <w:name w:val="Numbering Symbols"/>
  </w:style>
  <w:style w:type="character" w:customStyle="1" w:styleId="Internetlink">
    <w:name w:val="Internet link"/>
    <w:rPr>
      <w:color w:val="000080"/>
      <w:u w:val="single"/>
      <w:lang/>
    </w:rPr>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character" w:styleId="Accentuation">
    <w:name w:val="Emphasis"/>
    <w:rPr>
      <w:i/>
      <w:iCs/>
    </w:rPr>
  </w:style>
  <w:style w:type="character" w:customStyle="1" w:styleId="SourceText">
    <w:name w:val="Source Text"/>
    <w:rPr>
      <w:rFonts w:ascii="Liberation Mono" w:eastAsia="NSimSun" w:hAnsi="Liberation Mono" w:cs="Liberation Mono"/>
    </w:rPr>
  </w:style>
  <w:style w:type="character" w:customStyle="1" w:styleId="IndexLink">
    <w:name w:val="Index Link"/>
  </w:style>
  <w:style w:type="character" w:customStyle="1" w:styleId="Citation1">
    <w:name w:val="Citation1"/>
    <w:rPr>
      <w:i/>
      <w:iCs/>
    </w:rPr>
  </w:style>
  <w:style w:type="character" w:customStyle="1" w:styleId="Bandeaux">
    <w:name w:val="Bandeaux"/>
    <w:basedOn w:val="Policepardfaut"/>
    <w:rPr>
      <w:b/>
      <w:color w:val="FFFFFF"/>
      <w:shd w:val="clear" w:color="auto" w:fill="12636D"/>
    </w:rPr>
  </w:style>
  <w:style w:type="character" w:customStyle="1" w:styleId="VisitedInternetLink">
    <w:name w:val="Visited Internet Link"/>
    <w:rPr>
      <w:color w:val="800000"/>
      <w:u w:val="single"/>
      <w:lang/>
    </w:rPr>
  </w:style>
  <w:style w:type="character" w:customStyle="1" w:styleId="ListLabel28">
    <w:name w:val="ListLabel 28"/>
    <w:rPr>
      <w:rFonts w:ascii="Calibri" w:eastAsia="Calibri" w:hAnsi="Calibri" w:cs="Symbol"/>
    </w:rPr>
  </w:style>
  <w:style w:type="character" w:customStyle="1" w:styleId="ListLabel29">
    <w:name w:val="ListLabel 29"/>
    <w:rPr>
      <w:rFonts w:ascii="Calibri" w:eastAsia="Calibri" w:hAnsi="Calibri" w:cs="Courier New"/>
    </w:rPr>
  </w:style>
  <w:style w:type="character" w:customStyle="1" w:styleId="ListLabel30">
    <w:name w:val="ListLabel 30"/>
    <w:rPr>
      <w:rFonts w:cs="Wingdings"/>
    </w:rPr>
  </w:style>
  <w:style w:type="character" w:customStyle="1" w:styleId="ListLabel31">
    <w:name w:val="ListLabel 31"/>
    <w:rPr>
      <w:rFonts w:ascii="Calibri" w:eastAsia="Calibri" w:hAnsi="Calibri" w:cs="Symbol"/>
    </w:rPr>
  </w:style>
  <w:style w:type="character" w:customStyle="1" w:styleId="ListLabel32">
    <w:name w:val="ListLabel 32"/>
    <w:rPr>
      <w:rFonts w:ascii="Calibri" w:eastAsia="Calibri" w:hAnsi="Calibri" w:cs="Courier New"/>
    </w:rPr>
  </w:style>
  <w:style w:type="character" w:customStyle="1" w:styleId="ListLabel33">
    <w:name w:val="ListLabel 33"/>
    <w:rPr>
      <w:rFonts w:cs="Wingdings"/>
    </w:rPr>
  </w:style>
  <w:style w:type="character" w:customStyle="1" w:styleId="ListLabel34">
    <w:name w:val="ListLabel 34"/>
    <w:rPr>
      <w:rFonts w:ascii="Calibri" w:eastAsia="Calibri" w:hAnsi="Calibri" w:cs="Symbol"/>
    </w:rPr>
  </w:style>
  <w:style w:type="character" w:customStyle="1" w:styleId="ListLabel35">
    <w:name w:val="ListLabel 35"/>
    <w:rPr>
      <w:rFonts w:ascii="Calibri" w:eastAsia="Calibri" w:hAnsi="Calibri" w:cs="Courier New"/>
    </w:rPr>
  </w:style>
  <w:style w:type="character" w:customStyle="1" w:styleId="ListLabel36">
    <w:name w:val="ListLabel 36"/>
    <w:rPr>
      <w:rFonts w:cs="Wingdings"/>
    </w:rPr>
  </w:style>
  <w:style w:type="character" w:customStyle="1" w:styleId="ListLabel37">
    <w:name w:val="ListLabel 37"/>
    <w:rPr>
      <w:rFonts w:ascii="Calibri" w:eastAsia="Calibri" w:hAnsi="Calibri" w:cs="Symbol"/>
    </w:rPr>
  </w:style>
  <w:style w:type="character" w:customStyle="1" w:styleId="ListLabel38">
    <w:name w:val="ListLabel 38"/>
    <w:rPr>
      <w:rFonts w:ascii="Calibri" w:eastAsia="Calibri" w:hAnsi="Calibri" w:cs="Courier New"/>
    </w:rPr>
  </w:style>
  <w:style w:type="character" w:customStyle="1" w:styleId="ListLabel39">
    <w:name w:val="ListLabel 39"/>
    <w:rPr>
      <w:rFonts w:cs="Wingdings"/>
    </w:rPr>
  </w:style>
  <w:style w:type="character" w:customStyle="1" w:styleId="ListLabel40">
    <w:name w:val="ListLabel 40"/>
    <w:rPr>
      <w:rFonts w:ascii="Calibri" w:eastAsia="Calibri" w:hAnsi="Calibri" w:cs="Symbol"/>
    </w:rPr>
  </w:style>
  <w:style w:type="character" w:customStyle="1" w:styleId="ListLabel41">
    <w:name w:val="ListLabel 41"/>
    <w:rPr>
      <w:rFonts w:ascii="Calibri" w:eastAsia="Calibri" w:hAnsi="Calibri" w:cs="Courier New"/>
    </w:rPr>
  </w:style>
  <w:style w:type="character" w:customStyle="1" w:styleId="ListLabel42">
    <w:name w:val="ListLabel 42"/>
    <w:rPr>
      <w:rFonts w:cs="Wingdings"/>
    </w:rPr>
  </w:style>
  <w:style w:type="character" w:customStyle="1" w:styleId="ListLabel43">
    <w:name w:val="ListLabel 43"/>
    <w:rPr>
      <w:rFonts w:ascii="Calibri" w:eastAsia="Calibri" w:hAnsi="Calibri" w:cs="Symbol"/>
    </w:rPr>
  </w:style>
  <w:style w:type="character" w:customStyle="1" w:styleId="ListLabel44">
    <w:name w:val="ListLabel 44"/>
    <w:rPr>
      <w:rFonts w:ascii="Calibri" w:eastAsia="Calibri" w:hAnsi="Calibri" w:cs="Courier New"/>
    </w:rPr>
  </w:style>
  <w:style w:type="character" w:customStyle="1" w:styleId="ListLabel45">
    <w:name w:val="ListLabel 45"/>
    <w:rPr>
      <w:rFonts w:cs="Wingdings"/>
    </w:rPr>
  </w:style>
  <w:style w:type="character" w:customStyle="1" w:styleId="ListLabel163">
    <w:name w:val="ListLabel 163"/>
    <w:rPr>
      <w:rFonts w:ascii="Calibri" w:eastAsia="Calibri" w:hAnsi="Calibri" w:cs="Symbol"/>
    </w:rPr>
  </w:style>
  <w:style w:type="character" w:customStyle="1" w:styleId="ListLabel164">
    <w:name w:val="ListLabel 164"/>
    <w:rPr>
      <w:rFonts w:cs="OpenSymbol"/>
    </w:rPr>
  </w:style>
  <w:style w:type="character" w:customStyle="1" w:styleId="ListLabel165">
    <w:name w:val="ListLabel 165"/>
    <w:rPr>
      <w:rFonts w:cs="OpenSymbol"/>
    </w:rPr>
  </w:style>
  <w:style w:type="character" w:customStyle="1" w:styleId="ListLabel166">
    <w:name w:val="ListLabel 166"/>
    <w:rPr>
      <w:rFonts w:ascii="Calibri" w:eastAsia="Calibri" w:hAnsi="Calibri" w:cs="Symbol"/>
    </w:rPr>
  </w:style>
  <w:style w:type="character" w:customStyle="1" w:styleId="ListLabel167">
    <w:name w:val="ListLabel 167"/>
    <w:rPr>
      <w:rFonts w:cs="OpenSymbol"/>
    </w:rPr>
  </w:style>
  <w:style w:type="character" w:customStyle="1" w:styleId="ListLabel168">
    <w:name w:val="ListLabel 168"/>
    <w:rPr>
      <w:rFonts w:cs="OpenSymbol"/>
    </w:rPr>
  </w:style>
  <w:style w:type="character" w:customStyle="1" w:styleId="ListLabel169">
    <w:name w:val="ListLabel 169"/>
    <w:rPr>
      <w:rFonts w:ascii="Calibri" w:eastAsia="Calibri" w:hAnsi="Calibri" w:cs="Symbol"/>
    </w:rPr>
  </w:style>
  <w:style w:type="character" w:customStyle="1" w:styleId="ListLabel170">
    <w:name w:val="ListLabel 170"/>
    <w:rPr>
      <w:rFonts w:cs="OpenSymbol"/>
    </w:rPr>
  </w:style>
  <w:style w:type="character" w:customStyle="1" w:styleId="ListLabel171">
    <w:name w:val="ListLabel 171"/>
    <w:rPr>
      <w:rFonts w:cs="OpenSymbol"/>
    </w:rPr>
  </w:style>
  <w:style w:type="character" w:customStyle="1" w:styleId="ListLabel172">
    <w:name w:val="ListLabel 172"/>
    <w:rPr>
      <w:rFonts w:ascii="Calibri" w:eastAsia="Calibri" w:hAnsi="Calibri" w:cs="Symbol"/>
    </w:rPr>
  </w:style>
  <w:style w:type="character" w:customStyle="1" w:styleId="ListLabel173">
    <w:name w:val="ListLabel 173"/>
    <w:rPr>
      <w:rFonts w:cs="OpenSymbol"/>
    </w:rPr>
  </w:style>
  <w:style w:type="character" w:customStyle="1" w:styleId="ListLabel174">
    <w:name w:val="ListLabel 174"/>
    <w:rPr>
      <w:rFonts w:cs="OpenSymbol"/>
    </w:rPr>
  </w:style>
  <w:style w:type="character" w:customStyle="1" w:styleId="ListLabel175">
    <w:name w:val="ListLabel 175"/>
    <w:rPr>
      <w:rFonts w:ascii="Calibri" w:eastAsia="Calibri" w:hAnsi="Calibri" w:cs="Symbol"/>
    </w:rPr>
  </w:style>
  <w:style w:type="character" w:customStyle="1" w:styleId="ListLabel176">
    <w:name w:val="ListLabel 176"/>
    <w:rPr>
      <w:rFonts w:cs="OpenSymbol"/>
    </w:rPr>
  </w:style>
  <w:style w:type="character" w:customStyle="1" w:styleId="ListLabel177">
    <w:name w:val="ListLabel 177"/>
    <w:rPr>
      <w:rFonts w:cs="OpenSymbol"/>
    </w:rPr>
  </w:style>
  <w:style w:type="character" w:customStyle="1" w:styleId="ListLabel178">
    <w:name w:val="ListLabel 178"/>
    <w:rPr>
      <w:rFonts w:ascii="Calibri" w:eastAsia="Calibri" w:hAnsi="Calibri" w:cs="Symbol"/>
    </w:rPr>
  </w:style>
  <w:style w:type="character" w:customStyle="1" w:styleId="ListLabel179">
    <w:name w:val="ListLabel 179"/>
    <w:rPr>
      <w:rFonts w:cs="OpenSymbol"/>
    </w:rPr>
  </w:style>
  <w:style w:type="character" w:customStyle="1" w:styleId="ListLabel180">
    <w:name w:val="ListLabel 180"/>
    <w:rPr>
      <w:rFonts w:cs="OpenSymbol"/>
    </w:rPr>
  </w:style>
  <w:style w:type="character" w:customStyle="1" w:styleId="ListLabel208">
    <w:name w:val="ListLabel 208"/>
    <w:rPr>
      <w:rFonts w:ascii="Calibri" w:eastAsia="Calibri" w:hAnsi="Calibri" w:cs="Calibri"/>
    </w:rPr>
  </w:style>
  <w:style w:type="character" w:customStyle="1" w:styleId="ListLabel209">
    <w:name w:val="ListLabel 209"/>
    <w:rPr>
      <w:rFonts w:cs="Courier New"/>
    </w:rPr>
  </w:style>
  <w:style w:type="character" w:customStyle="1" w:styleId="ListLabel210">
    <w:name w:val="ListLabel 210"/>
  </w:style>
  <w:style w:type="character" w:customStyle="1" w:styleId="ListLabel211">
    <w:name w:val="ListLabel 211"/>
    <w:rPr>
      <w:rFonts w:ascii="Calibri" w:eastAsia="Calibri" w:hAnsi="Calibri" w:cs="Calibri"/>
    </w:rPr>
  </w:style>
  <w:style w:type="character" w:customStyle="1" w:styleId="ListLabel212">
    <w:name w:val="ListLabel 212"/>
    <w:rPr>
      <w:rFonts w:cs="Courier New"/>
    </w:rPr>
  </w:style>
  <w:style w:type="character" w:customStyle="1" w:styleId="ListLabel213">
    <w:name w:val="ListLabel 213"/>
  </w:style>
  <w:style w:type="character" w:customStyle="1" w:styleId="ListLabel214">
    <w:name w:val="ListLabel 214"/>
    <w:rPr>
      <w:rFonts w:ascii="Calibri" w:eastAsia="Calibri" w:hAnsi="Calibri" w:cs="Calibri"/>
    </w:rPr>
  </w:style>
  <w:style w:type="character" w:customStyle="1" w:styleId="ListLabel215">
    <w:name w:val="ListLabel 215"/>
    <w:rPr>
      <w:rFonts w:cs="Courier New"/>
    </w:rPr>
  </w:style>
  <w:style w:type="character" w:customStyle="1" w:styleId="ListLabel216">
    <w:name w:val="ListLabel 216"/>
  </w:style>
  <w:style w:type="character" w:customStyle="1" w:styleId="ListLabel217">
    <w:name w:val="ListLabel 217"/>
    <w:rPr>
      <w:rFonts w:ascii="Calibri" w:eastAsia="Calibri" w:hAnsi="Calibri" w:cs="Calibri"/>
    </w:rPr>
  </w:style>
  <w:style w:type="character" w:customStyle="1" w:styleId="ListLabel218">
    <w:name w:val="ListLabel 218"/>
    <w:rPr>
      <w:rFonts w:cs="Courier New"/>
    </w:rPr>
  </w:style>
  <w:style w:type="character" w:customStyle="1" w:styleId="ListLabel219">
    <w:name w:val="ListLabel 219"/>
  </w:style>
  <w:style w:type="character" w:customStyle="1" w:styleId="ListLabel220">
    <w:name w:val="ListLabel 220"/>
    <w:rPr>
      <w:rFonts w:ascii="Calibri" w:eastAsia="Calibri" w:hAnsi="Calibri" w:cs="Calibri"/>
    </w:rPr>
  </w:style>
  <w:style w:type="character" w:customStyle="1" w:styleId="ListLabel221">
    <w:name w:val="ListLabel 221"/>
    <w:rPr>
      <w:rFonts w:cs="Courier New"/>
    </w:rPr>
  </w:style>
  <w:style w:type="character" w:customStyle="1" w:styleId="ListLabel222">
    <w:name w:val="ListLabel 222"/>
  </w:style>
  <w:style w:type="character" w:customStyle="1" w:styleId="ListLabel223">
    <w:name w:val="ListLabel 223"/>
    <w:rPr>
      <w:rFonts w:ascii="Calibri" w:eastAsia="Calibri" w:hAnsi="Calibri" w:cs="Calibri"/>
    </w:rPr>
  </w:style>
  <w:style w:type="character" w:customStyle="1" w:styleId="ListLabel224">
    <w:name w:val="ListLabel 224"/>
    <w:rPr>
      <w:rFonts w:cs="Courier New"/>
    </w:rPr>
  </w:style>
  <w:style w:type="character" w:customStyle="1" w:styleId="ListLabel225">
    <w:name w:val="ListLabel 225"/>
  </w:style>
  <w:style w:type="character" w:customStyle="1" w:styleId="ListLabel226">
    <w:name w:val="ListLabel 226"/>
    <w:rPr>
      <w:rFonts w:ascii="Calibri" w:eastAsia="Calibri" w:hAnsi="Calibri" w:cs="Calibri"/>
    </w:rPr>
  </w:style>
  <w:style w:type="character" w:customStyle="1" w:styleId="ListLabel227">
    <w:name w:val="ListLabel 227"/>
    <w:rPr>
      <w:rFonts w:cs="Courier New"/>
    </w:rPr>
  </w:style>
  <w:style w:type="character" w:customStyle="1" w:styleId="ListLabel228">
    <w:name w:val="ListLabel 228"/>
  </w:style>
  <w:style w:type="character" w:customStyle="1" w:styleId="ListLabel229">
    <w:name w:val="ListLabel 229"/>
    <w:rPr>
      <w:rFonts w:ascii="Calibri" w:eastAsia="Calibri" w:hAnsi="Calibri" w:cs="Calibri"/>
    </w:rPr>
  </w:style>
  <w:style w:type="character" w:customStyle="1" w:styleId="ListLabel230">
    <w:name w:val="ListLabel 230"/>
    <w:rPr>
      <w:rFonts w:cs="Courier New"/>
    </w:rPr>
  </w:style>
  <w:style w:type="character" w:customStyle="1" w:styleId="ListLabel231">
    <w:name w:val="ListLabel 231"/>
  </w:style>
  <w:style w:type="character" w:customStyle="1" w:styleId="ListLabel232">
    <w:name w:val="ListLabel 232"/>
    <w:rPr>
      <w:rFonts w:ascii="Calibri" w:eastAsia="Calibri" w:hAnsi="Calibri" w:cs="Calibri"/>
    </w:rPr>
  </w:style>
  <w:style w:type="character" w:customStyle="1" w:styleId="ListLabel233">
    <w:name w:val="ListLabel 233"/>
    <w:rPr>
      <w:rFonts w:cs="Courier New"/>
    </w:rPr>
  </w:style>
  <w:style w:type="character" w:customStyle="1" w:styleId="ListLabel234">
    <w:name w:val="ListLabel 234"/>
  </w:style>
  <w:style w:type="character" w:customStyle="1" w:styleId="ListLabel19">
    <w:name w:val="ListLabel 19"/>
    <w:rPr>
      <w:rFonts w:ascii="Cambria" w:eastAsia="Cambria" w:hAnsi="Cambria" w:cs="Symbol"/>
    </w:rPr>
  </w:style>
  <w:style w:type="character" w:customStyle="1" w:styleId="ListLabel20">
    <w:name w:val="ListLabel 20"/>
    <w:rPr>
      <w:rFonts w:ascii="Cambria" w:eastAsia="Cambria" w:hAnsi="Cambria" w:cs="Symbol"/>
    </w:rPr>
  </w:style>
  <w:style w:type="character" w:customStyle="1" w:styleId="ListLabel21">
    <w:name w:val="ListLabel 21"/>
    <w:rPr>
      <w:rFonts w:ascii="Cambria" w:eastAsia="Cambria" w:hAnsi="Cambria" w:cs="Symbol"/>
    </w:rPr>
  </w:style>
  <w:style w:type="character" w:customStyle="1" w:styleId="ListLabel22">
    <w:name w:val="ListLabel 22"/>
    <w:rPr>
      <w:rFonts w:ascii="Cambria" w:eastAsia="Cambria" w:hAnsi="Cambria" w:cs="Symbol"/>
    </w:rPr>
  </w:style>
  <w:style w:type="character" w:customStyle="1" w:styleId="ListLabel23">
    <w:name w:val="ListLabel 23"/>
    <w:rPr>
      <w:rFonts w:ascii="Cambria" w:eastAsia="Cambria" w:hAnsi="Cambria" w:cs="Symbol"/>
    </w:rPr>
  </w:style>
  <w:style w:type="character" w:customStyle="1" w:styleId="ListLabel24">
    <w:name w:val="ListLabel 24"/>
    <w:rPr>
      <w:rFonts w:ascii="Cambria" w:eastAsia="Cambria" w:hAnsi="Cambria" w:cs="Symbol"/>
    </w:rPr>
  </w:style>
  <w:style w:type="character" w:customStyle="1" w:styleId="ListLabel25">
    <w:name w:val="ListLabel 25"/>
    <w:rPr>
      <w:rFonts w:ascii="Cambria" w:eastAsia="Cambria" w:hAnsi="Cambria" w:cs="Symbol"/>
    </w:rPr>
  </w:style>
  <w:style w:type="character" w:customStyle="1" w:styleId="ListLabel26">
    <w:name w:val="ListLabel 26"/>
    <w:rPr>
      <w:rFonts w:ascii="Cambria" w:eastAsia="Cambria" w:hAnsi="Cambria" w:cs="Symbol"/>
    </w:rPr>
  </w:style>
  <w:style w:type="character" w:customStyle="1" w:styleId="ListLabel27">
    <w:name w:val="ListLabel 27"/>
    <w:rPr>
      <w:rFonts w:ascii="Cambria" w:eastAsia="Cambria" w:hAnsi="Cambria" w:cs="Symbol"/>
    </w:rPr>
  </w:style>
  <w:style w:type="character" w:customStyle="1" w:styleId="ListLabel46">
    <w:name w:val="ListLabel 46"/>
    <w:rPr>
      <w:rFonts w:ascii="Cambria" w:eastAsia="Cambria" w:hAnsi="Cambria" w:cs="Symbol"/>
    </w:rPr>
  </w:style>
  <w:style w:type="character" w:customStyle="1" w:styleId="ListLabel47">
    <w:name w:val="ListLabel 47"/>
    <w:rPr>
      <w:rFonts w:ascii="Cambria" w:eastAsia="Cambria" w:hAnsi="Cambria" w:cs="Symbol"/>
    </w:rPr>
  </w:style>
  <w:style w:type="character" w:customStyle="1" w:styleId="ListLabel48">
    <w:name w:val="ListLabel 48"/>
    <w:rPr>
      <w:rFonts w:ascii="Cambria" w:eastAsia="Cambria" w:hAnsi="Cambria" w:cs="Symbol"/>
    </w:rPr>
  </w:style>
  <w:style w:type="character" w:customStyle="1" w:styleId="ListLabel49">
    <w:name w:val="ListLabel 49"/>
    <w:rPr>
      <w:rFonts w:ascii="Cambria" w:eastAsia="Cambria" w:hAnsi="Cambria" w:cs="Symbol"/>
    </w:rPr>
  </w:style>
  <w:style w:type="character" w:customStyle="1" w:styleId="ListLabel50">
    <w:name w:val="ListLabel 50"/>
    <w:rPr>
      <w:rFonts w:ascii="Cambria" w:eastAsia="Cambria" w:hAnsi="Cambria" w:cs="Symbol"/>
    </w:rPr>
  </w:style>
  <w:style w:type="character" w:customStyle="1" w:styleId="ListLabel51">
    <w:name w:val="ListLabel 51"/>
    <w:rPr>
      <w:rFonts w:ascii="Cambria" w:eastAsia="Cambria" w:hAnsi="Cambria" w:cs="Symbol"/>
    </w:rPr>
  </w:style>
  <w:style w:type="character" w:customStyle="1" w:styleId="ListLabel52">
    <w:name w:val="ListLabel 52"/>
    <w:rPr>
      <w:rFonts w:ascii="Cambria" w:eastAsia="Cambria" w:hAnsi="Cambria" w:cs="Symbol"/>
    </w:rPr>
  </w:style>
  <w:style w:type="character" w:customStyle="1" w:styleId="ListLabel53">
    <w:name w:val="ListLabel 53"/>
    <w:rPr>
      <w:rFonts w:ascii="Cambria" w:eastAsia="Cambria" w:hAnsi="Cambria" w:cs="Symbol"/>
    </w:rPr>
  </w:style>
  <w:style w:type="character" w:customStyle="1" w:styleId="ListLabel54">
    <w:name w:val="ListLabel 54"/>
    <w:rPr>
      <w:rFonts w:ascii="Cambria" w:eastAsia="Cambria" w:hAnsi="Cambria" w:cs="Symbol"/>
    </w:rPr>
  </w:style>
  <w:style w:type="character" w:customStyle="1" w:styleId="ListLabel55">
    <w:name w:val="ListLabel 55"/>
    <w:rPr>
      <w:rFonts w:ascii="Cambria" w:eastAsia="Cambria" w:hAnsi="Cambria" w:cs="Symbol"/>
    </w:rPr>
  </w:style>
  <w:style w:type="character" w:customStyle="1" w:styleId="ListLabel56">
    <w:name w:val="ListLabel 56"/>
    <w:rPr>
      <w:rFonts w:ascii="Cambria" w:eastAsia="Cambria" w:hAnsi="Cambria" w:cs="Symbol"/>
    </w:rPr>
  </w:style>
  <w:style w:type="character" w:customStyle="1" w:styleId="ListLabel57">
    <w:name w:val="ListLabel 57"/>
    <w:rPr>
      <w:rFonts w:ascii="Cambria" w:eastAsia="Cambria" w:hAnsi="Cambria" w:cs="Symbol"/>
    </w:rPr>
  </w:style>
  <w:style w:type="character" w:customStyle="1" w:styleId="ListLabel58">
    <w:name w:val="ListLabel 58"/>
    <w:rPr>
      <w:rFonts w:ascii="Cambria" w:eastAsia="Cambria" w:hAnsi="Cambria" w:cs="Symbol"/>
    </w:rPr>
  </w:style>
  <w:style w:type="character" w:customStyle="1" w:styleId="ListLabel59">
    <w:name w:val="ListLabel 59"/>
    <w:rPr>
      <w:rFonts w:ascii="Cambria" w:eastAsia="Cambria" w:hAnsi="Cambria" w:cs="Symbol"/>
    </w:rPr>
  </w:style>
  <w:style w:type="character" w:customStyle="1" w:styleId="ListLabel60">
    <w:name w:val="ListLabel 60"/>
    <w:rPr>
      <w:rFonts w:ascii="Cambria" w:eastAsia="Cambria" w:hAnsi="Cambria" w:cs="Symbol"/>
    </w:rPr>
  </w:style>
  <w:style w:type="character" w:customStyle="1" w:styleId="ListLabel61">
    <w:name w:val="ListLabel 61"/>
    <w:rPr>
      <w:rFonts w:ascii="Cambria" w:eastAsia="Cambria" w:hAnsi="Cambria" w:cs="Symbol"/>
    </w:rPr>
  </w:style>
  <w:style w:type="character" w:customStyle="1" w:styleId="ListLabel62">
    <w:name w:val="ListLabel 62"/>
    <w:rPr>
      <w:rFonts w:ascii="Cambria" w:eastAsia="Cambria" w:hAnsi="Cambria" w:cs="Symbol"/>
    </w:rPr>
  </w:style>
  <w:style w:type="character" w:customStyle="1" w:styleId="ListLabel63">
    <w:name w:val="ListLabel 63"/>
    <w:rPr>
      <w:rFonts w:ascii="Cambria" w:eastAsia="Cambria" w:hAnsi="Cambria" w:cs="Symbol"/>
    </w:rPr>
  </w:style>
  <w:style w:type="character" w:customStyle="1" w:styleId="ListLabel64">
    <w:name w:val="ListLabel 64"/>
    <w:rPr>
      <w:rFonts w:ascii="Cambria" w:eastAsia="Cambria" w:hAnsi="Cambria" w:cs="Symbol"/>
    </w:rPr>
  </w:style>
  <w:style w:type="character" w:customStyle="1" w:styleId="ListLabel65">
    <w:name w:val="ListLabel 65"/>
    <w:rPr>
      <w:rFonts w:ascii="Cambria" w:eastAsia="Cambria" w:hAnsi="Cambria" w:cs="Symbol"/>
    </w:rPr>
  </w:style>
  <w:style w:type="character" w:customStyle="1" w:styleId="ListLabel66">
    <w:name w:val="ListLabel 66"/>
    <w:rPr>
      <w:rFonts w:ascii="Cambria" w:eastAsia="Cambria" w:hAnsi="Cambria" w:cs="Symbol"/>
    </w:rPr>
  </w:style>
  <w:style w:type="character" w:customStyle="1" w:styleId="ListLabel67">
    <w:name w:val="ListLabel 67"/>
    <w:rPr>
      <w:rFonts w:ascii="Cambria" w:eastAsia="Cambria" w:hAnsi="Cambria" w:cs="Symbol"/>
    </w:rPr>
  </w:style>
  <w:style w:type="character" w:customStyle="1" w:styleId="ListLabel68">
    <w:name w:val="ListLabel 68"/>
    <w:rPr>
      <w:rFonts w:ascii="Cambria" w:eastAsia="Cambria" w:hAnsi="Cambria" w:cs="Symbol"/>
    </w:rPr>
  </w:style>
  <w:style w:type="character" w:customStyle="1" w:styleId="ListLabel69">
    <w:name w:val="ListLabel 69"/>
    <w:rPr>
      <w:rFonts w:ascii="Cambria" w:eastAsia="Cambria" w:hAnsi="Cambria" w:cs="Symbol"/>
    </w:rPr>
  </w:style>
  <w:style w:type="character" w:customStyle="1" w:styleId="ListLabel70">
    <w:name w:val="ListLabel 70"/>
    <w:rPr>
      <w:rFonts w:ascii="Cambria" w:eastAsia="Cambria" w:hAnsi="Cambria" w:cs="Symbol"/>
    </w:rPr>
  </w:style>
  <w:style w:type="character" w:customStyle="1" w:styleId="ListLabel71">
    <w:name w:val="ListLabel 71"/>
    <w:rPr>
      <w:rFonts w:ascii="Cambria" w:eastAsia="Cambria" w:hAnsi="Cambria" w:cs="Symbol"/>
    </w:rPr>
  </w:style>
  <w:style w:type="character" w:customStyle="1" w:styleId="ListLabel72">
    <w:name w:val="ListLabel 72"/>
    <w:rPr>
      <w:rFonts w:ascii="Cambria" w:eastAsia="Cambria" w:hAnsi="Cambria" w:cs="Symbol"/>
    </w:rPr>
  </w:style>
  <w:style w:type="character" w:customStyle="1" w:styleId="ListLabel73">
    <w:name w:val="ListLabel 73"/>
    <w:rPr>
      <w:rFonts w:ascii="Cambria" w:eastAsia="Cambria" w:hAnsi="Cambria" w:cs="Symbol"/>
    </w:rPr>
  </w:style>
  <w:style w:type="character" w:customStyle="1" w:styleId="ListLabel74">
    <w:name w:val="ListLabel 74"/>
    <w:rPr>
      <w:rFonts w:ascii="Cambria" w:eastAsia="Cambria" w:hAnsi="Cambria" w:cs="Symbol"/>
    </w:rPr>
  </w:style>
  <w:style w:type="character" w:customStyle="1" w:styleId="ListLabel75">
    <w:name w:val="ListLabel 75"/>
    <w:rPr>
      <w:rFonts w:ascii="Cambria" w:eastAsia="Cambria" w:hAnsi="Cambria" w:cs="Symbol"/>
    </w:rPr>
  </w:style>
  <w:style w:type="character" w:customStyle="1" w:styleId="ListLabel76">
    <w:name w:val="ListLabel 76"/>
    <w:rPr>
      <w:rFonts w:ascii="Cambria" w:eastAsia="Cambria" w:hAnsi="Cambria" w:cs="Symbol"/>
    </w:rPr>
  </w:style>
  <w:style w:type="character" w:customStyle="1" w:styleId="ListLabel77">
    <w:name w:val="ListLabel 77"/>
    <w:rPr>
      <w:rFonts w:ascii="Cambria" w:eastAsia="Cambria" w:hAnsi="Cambria" w:cs="Symbol"/>
    </w:rPr>
  </w:style>
  <w:style w:type="character" w:customStyle="1" w:styleId="ListLabel78">
    <w:name w:val="ListLabel 78"/>
    <w:rPr>
      <w:rFonts w:ascii="Cambria" w:eastAsia="Cambria" w:hAnsi="Cambria" w:cs="Symbol"/>
    </w:rPr>
  </w:style>
  <w:style w:type="character" w:customStyle="1" w:styleId="ListLabel79">
    <w:name w:val="ListLabel 79"/>
    <w:rPr>
      <w:rFonts w:ascii="Cambria" w:eastAsia="Cambria" w:hAnsi="Cambria" w:cs="Symbol"/>
    </w:rPr>
  </w:style>
  <w:style w:type="character" w:customStyle="1" w:styleId="ListLabel80">
    <w:name w:val="ListLabel 80"/>
    <w:rPr>
      <w:rFonts w:ascii="Cambria" w:eastAsia="Cambria" w:hAnsi="Cambria" w:cs="Symbol"/>
    </w:rPr>
  </w:style>
  <w:style w:type="character" w:customStyle="1" w:styleId="ListLabel81">
    <w:name w:val="ListLabel 81"/>
    <w:rPr>
      <w:rFonts w:ascii="Cambria" w:eastAsia="Cambria" w:hAnsi="Cambria" w:cs="Symbol"/>
    </w:rPr>
  </w:style>
  <w:style w:type="character" w:customStyle="1" w:styleId="ListLabel82">
    <w:name w:val="ListLabel 82"/>
    <w:rPr>
      <w:rFonts w:ascii="Cambria" w:eastAsia="Cambria" w:hAnsi="Cambria" w:cs="Symbol"/>
    </w:rPr>
  </w:style>
  <w:style w:type="character" w:customStyle="1" w:styleId="ListLabel83">
    <w:name w:val="ListLabel 83"/>
    <w:rPr>
      <w:rFonts w:ascii="Cambria" w:eastAsia="Cambria" w:hAnsi="Cambria" w:cs="Symbol"/>
    </w:rPr>
  </w:style>
  <w:style w:type="character" w:customStyle="1" w:styleId="ListLabel84">
    <w:name w:val="ListLabel 84"/>
    <w:rPr>
      <w:rFonts w:ascii="Cambria" w:eastAsia="Cambria" w:hAnsi="Cambria" w:cs="Symbol"/>
    </w:rPr>
  </w:style>
  <w:style w:type="character" w:customStyle="1" w:styleId="ListLabel85">
    <w:name w:val="ListLabel 85"/>
    <w:rPr>
      <w:rFonts w:ascii="Cambria" w:eastAsia="Cambria" w:hAnsi="Cambria" w:cs="Symbol"/>
    </w:rPr>
  </w:style>
  <w:style w:type="character" w:customStyle="1" w:styleId="ListLabel86">
    <w:name w:val="ListLabel 86"/>
    <w:rPr>
      <w:rFonts w:ascii="Cambria" w:eastAsia="Cambria" w:hAnsi="Cambria" w:cs="Symbol"/>
    </w:rPr>
  </w:style>
  <w:style w:type="character" w:customStyle="1" w:styleId="ListLabel87">
    <w:name w:val="ListLabel 87"/>
    <w:rPr>
      <w:rFonts w:ascii="Cambria" w:eastAsia="Cambria" w:hAnsi="Cambria" w:cs="Symbol"/>
    </w:rPr>
  </w:style>
  <w:style w:type="character" w:customStyle="1" w:styleId="ListLabel88">
    <w:name w:val="ListLabel 88"/>
    <w:rPr>
      <w:rFonts w:ascii="Cambria" w:eastAsia="Cambria" w:hAnsi="Cambria" w:cs="Symbol"/>
    </w:rPr>
  </w:style>
  <w:style w:type="character" w:customStyle="1" w:styleId="ListLabel89">
    <w:name w:val="ListLabel 89"/>
    <w:rPr>
      <w:rFonts w:ascii="Cambria" w:eastAsia="Cambria" w:hAnsi="Cambria" w:cs="Symbol"/>
    </w:rPr>
  </w:style>
  <w:style w:type="character" w:customStyle="1" w:styleId="ListLabel90">
    <w:name w:val="ListLabel 90"/>
    <w:rPr>
      <w:rFonts w:ascii="Cambria" w:eastAsia="Cambria" w:hAnsi="Cambria" w:cs="Symbol"/>
    </w:rPr>
  </w:style>
  <w:style w:type="character" w:customStyle="1" w:styleId="ListLabel91">
    <w:name w:val="ListLabel 91"/>
    <w:rPr>
      <w:rFonts w:ascii="Cambria" w:eastAsia="Cambria" w:hAnsi="Cambria" w:cs="Symbol"/>
    </w:rPr>
  </w:style>
  <w:style w:type="character" w:customStyle="1" w:styleId="ListLabel92">
    <w:name w:val="ListLabel 92"/>
    <w:rPr>
      <w:rFonts w:ascii="Cambria" w:eastAsia="Cambria" w:hAnsi="Cambria" w:cs="Symbol"/>
    </w:rPr>
  </w:style>
  <w:style w:type="character" w:customStyle="1" w:styleId="ListLabel93">
    <w:name w:val="ListLabel 93"/>
    <w:rPr>
      <w:rFonts w:ascii="Cambria" w:eastAsia="Cambria" w:hAnsi="Cambria" w:cs="Symbol"/>
    </w:rPr>
  </w:style>
  <w:style w:type="character" w:customStyle="1" w:styleId="ListLabel94">
    <w:name w:val="ListLabel 94"/>
    <w:rPr>
      <w:rFonts w:ascii="Cambria" w:eastAsia="Cambria" w:hAnsi="Cambria" w:cs="Symbol"/>
    </w:rPr>
  </w:style>
  <w:style w:type="character" w:customStyle="1" w:styleId="ListLabel95">
    <w:name w:val="ListLabel 95"/>
    <w:rPr>
      <w:rFonts w:ascii="Cambria" w:eastAsia="Cambria" w:hAnsi="Cambria" w:cs="Symbol"/>
    </w:rPr>
  </w:style>
  <w:style w:type="character" w:customStyle="1" w:styleId="ListLabel96">
    <w:name w:val="ListLabel 96"/>
    <w:rPr>
      <w:rFonts w:ascii="Cambria" w:eastAsia="Cambria" w:hAnsi="Cambria" w:cs="Symbol"/>
    </w:rPr>
  </w:style>
  <w:style w:type="character" w:customStyle="1" w:styleId="ListLabel97">
    <w:name w:val="ListLabel 97"/>
    <w:rPr>
      <w:rFonts w:ascii="Cambria" w:eastAsia="Cambria" w:hAnsi="Cambria" w:cs="Symbol"/>
    </w:rPr>
  </w:style>
  <w:style w:type="character" w:customStyle="1" w:styleId="ListLabel98">
    <w:name w:val="ListLabel 98"/>
    <w:rPr>
      <w:rFonts w:ascii="Cambria" w:eastAsia="Cambria" w:hAnsi="Cambria" w:cs="Symbol"/>
    </w:rPr>
  </w:style>
  <w:style w:type="character" w:customStyle="1" w:styleId="ListLabel99">
    <w:name w:val="ListLabel 99"/>
    <w:rPr>
      <w:rFonts w:ascii="Cambria" w:eastAsia="Cambria" w:hAnsi="Cambria" w:cs="Symbol"/>
    </w:rPr>
  </w:style>
  <w:style w:type="character" w:customStyle="1" w:styleId="ListLabel100">
    <w:name w:val="ListLabel 100"/>
    <w:rPr>
      <w:rFonts w:ascii="Cambria" w:eastAsia="Cambria" w:hAnsi="Cambria" w:cs="Symbol"/>
    </w:rPr>
  </w:style>
  <w:style w:type="character" w:customStyle="1" w:styleId="ListLabel101">
    <w:name w:val="ListLabel 101"/>
    <w:rPr>
      <w:rFonts w:ascii="Cambria" w:eastAsia="Cambria" w:hAnsi="Cambria" w:cs="Symbol"/>
    </w:rPr>
  </w:style>
  <w:style w:type="character" w:customStyle="1" w:styleId="ListLabel102">
    <w:name w:val="ListLabel 102"/>
    <w:rPr>
      <w:rFonts w:ascii="Cambria" w:eastAsia="Cambria" w:hAnsi="Cambria" w:cs="Symbol"/>
    </w:rPr>
  </w:style>
  <w:style w:type="character" w:customStyle="1" w:styleId="ListLabel103">
    <w:name w:val="ListLabel 103"/>
    <w:rPr>
      <w:rFonts w:ascii="Cambria" w:eastAsia="Cambria" w:hAnsi="Cambria" w:cs="Symbol"/>
    </w:rPr>
  </w:style>
  <w:style w:type="character" w:customStyle="1" w:styleId="ListLabel104">
    <w:name w:val="ListLabel 104"/>
    <w:rPr>
      <w:rFonts w:ascii="Cambria" w:eastAsia="Cambria" w:hAnsi="Cambria" w:cs="Symbol"/>
    </w:rPr>
  </w:style>
  <w:style w:type="character" w:customStyle="1" w:styleId="ListLabel105">
    <w:name w:val="ListLabel 105"/>
    <w:rPr>
      <w:rFonts w:ascii="Cambria" w:eastAsia="Cambria" w:hAnsi="Cambria" w:cs="Symbol"/>
    </w:rPr>
  </w:style>
  <w:style w:type="character" w:customStyle="1" w:styleId="ListLabel106">
    <w:name w:val="ListLabel 106"/>
    <w:rPr>
      <w:rFonts w:ascii="Cambria" w:eastAsia="Cambria" w:hAnsi="Cambria" w:cs="Symbol"/>
    </w:rPr>
  </w:style>
  <w:style w:type="character" w:customStyle="1" w:styleId="ListLabel107">
    <w:name w:val="ListLabel 107"/>
    <w:rPr>
      <w:rFonts w:ascii="Cambria" w:eastAsia="Cambria" w:hAnsi="Cambria" w:cs="Symbol"/>
    </w:rPr>
  </w:style>
  <w:style w:type="character" w:customStyle="1" w:styleId="ListLabel108">
    <w:name w:val="ListLabel 108"/>
    <w:rPr>
      <w:rFonts w:ascii="Cambria" w:eastAsia="Cambria" w:hAnsi="Cambria" w:cs="Symbol"/>
    </w:rPr>
  </w:style>
  <w:style w:type="character" w:customStyle="1" w:styleId="ListLabel10">
    <w:name w:val="ListLabel 10"/>
    <w:rPr>
      <w:rFonts w:ascii="Cambria" w:eastAsia="Cambria" w:hAnsi="Cambria" w:cs="Symbol"/>
    </w:rPr>
  </w:style>
  <w:style w:type="character" w:customStyle="1" w:styleId="ListLabel11">
    <w:name w:val="ListLabel 11"/>
    <w:rPr>
      <w:rFonts w:ascii="Cambria" w:eastAsia="Cambria" w:hAnsi="Cambria" w:cs="OpenSymbol"/>
    </w:rPr>
  </w:style>
  <w:style w:type="character" w:customStyle="1" w:styleId="ListLabel12">
    <w:name w:val="ListLabel 12"/>
    <w:rPr>
      <w:rFonts w:ascii="Cambria" w:eastAsia="Cambria" w:hAnsi="Cambria" w:cs="OpenSymbol"/>
    </w:rPr>
  </w:style>
  <w:style w:type="character" w:customStyle="1" w:styleId="ListLabel13">
    <w:name w:val="ListLabel 13"/>
    <w:rPr>
      <w:rFonts w:ascii="Cambria" w:eastAsia="Cambria" w:hAnsi="Cambria" w:cs="Symbol"/>
    </w:rPr>
  </w:style>
  <w:style w:type="character" w:customStyle="1" w:styleId="ListLabel14">
    <w:name w:val="ListLabel 14"/>
    <w:rPr>
      <w:rFonts w:ascii="Cambria" w:eastAsia="Cambria" w:hAnsi="Cambria" w:cs="OpenSymbol"/>
    </w:rPr>
  </w:style>
  <w:style w:type="character" w:customStyle="1" w:styleId="ListLabel15">
    <w:name w:val="ListLabel 15"/>
    <w:rPr>
      <w:rFonts w:ascii="Cambria" w:eastAsia="Cambria" w:hAnsi="Cambria" w:cs="OpenSymbol"/>
    </w:rPr>
  </w:style>
  <w:style w:type="character" w:customStyle="1" w:styleId="ListLabel16">
    <w:name w:val="ListLabel 16"/>
    <w:rPr>
      <w:rFonts w:ascii="Cambria" w:eastAsia="Cambria" w:hAnsi="Cambria" w:cs="Symbol"/>
    </w:rPr>
  </w:style>
  <w:style w:type="character" w:customStyle="1" w:styleId="ListLabel17">
    <w:name w:val="ListLabel 17"/>
    <w:rPr>
      <w:rFonts w:ascii="Cambria" w:eastAsia="Cambria" w:hAnsi="Cambria" w:cs="OpenSymbol"/>
    </w:rPr>
  </w:style>
  <w:style w:type="character" w:customStyle="1" w:styleId="ListLabel18">
    <w:name w:val="ListLabel 18"/>
    <w:rPr>
      <w:rFonts w:ascii="Cambria" w:eastAsia="Cambria" w:hAnsi="Cambria" w:cs="OpenSymbol"/>
    </w:rPr>
  </w:style>
  <w:style w:type="numbering" w:customStyle="1" w:styleId="Numbering1">
    <w:name w:val="Numbering 1"/>
    <w:basedOn w:val="Aucuneliste"/>
    <w:pPr>
      <w:numPr>
        <w:numId w:val="2"/>
      </w:numPr>
    </w:pPr>
  </w:style>
  <w:style w:type="numbering" w:customStyle="1" w:styleId="Numbering3">
    <w:name w:val="Numbering 3"/>
    <w:basedOn w:val="Aucuneliste"/>
    <w:pPr>
      <w:numPr>
        <w:numId w:val="3"/>
      </w:numPr>
    </w:pPr>
  </w:style>
  <w:style w:type="numbering" w:customStyle="1" w:styleId="Numbering4">
    <w:name w:val="Numbering 4"/>
    <w:basedOn w:val="Aucuneliste"/>
    <w:pPr>
      <w:numPr>
        <w:numId w:val="4"/>
      </w:numPr>
    </w:pPr>
  </w:style>
  <w:style w:type="numbering" w:customStyle="1" w:styleId="Numbering5">
    <w:name w:val="Numbering 5"/>
    <w:basedOn w:val="Aucuneliste"/>
    <w:pPr>
      <w:numPr>
        <w:numId w:val="5"/>
      </w:numPr>
    </w:pPr>
  </w:style>
  <w:style w:type="numbering" w:customStyle="1" w:styleId="WWNum4">
    <w:name w:val="WWNum4"/>
    <w:basedOn w:val="Aucuneliste"/>
    <w:pPr>
      <w:numPr>
        <w:numId w:val="6"/>
      </w:numPr>
    </w:pPr>
  </w:style>
  <w:style w:type="numbering" w:customStyle="1" w:styleId="WWNum5">
    <w:name w:val="WWNum5"/>
    <w:basedOn w:val="Aucuneliste"/>
    <w:pPr>
      <w:numPr>
        <w:numId w:val="7"/>
      </w:numPr>
    </w:pPr>
  </w:style>
  <w:style w:type="numbering" w:customStyle="1" w:styleId="WWNum19">
    <w:name w:val="WWNum19"/>
    <w:basedOn w:val="Aucuneliste"/>
    <w:pPr>
      <w:numPr>
        <w:numId w:val="8"/>
      </w:numPr>
    </w:pPr>
  </w:style>
  <w:style w:type="numbering" w:customStyle="1" w:styleId="WWNum20">
    <w:name w:val="WWNum20"/>
    <w:basedOn w:val="Aucuneliste"/>
    <w:pPr>
      <w:numPr>
        <w:numId w:val="9"/>
      </w:numPr>
    </w:pPr>
  </w:style>
  <w:style w:type="numbering" w:customStyle="1" w:styleId="WWNum24">
    <w:name w:val="WWNum24"/>
    <w:basedOn w:val="Aucuneliste"/>
    <w:pPr>
      <w:numPr>
        <w:numId w:val="10"/>
      </w:numPr>
    </w:pPr>
  </w:style>
  <w:style w:type="numbering" w:customStyle="1" w:styleId="WWNum25">
    <w:name w:val="WWNum25"/>
    <w:basedOn w:val="Aucuneliste"/>
    <w:pPr>
      <w:numPr>
        <w:numId w:val="11"/>
      </w:numPr>
    </w:pPr>
  </w:style>
  <w:style w:type="numbering" w:customStyle="1" w:styleId="WWNum26">
    <w:name w:val="WWNum26"/>
    <w:basedOn w:val="Aucuneliste"/>
    <w:pPr>
      <w:numPr>
        <w:numId w:val="12"/>
      </w:numPr>
    </w:pPr>
  </w:style>
  <w:style w:type="numbering" w:customStyle="1" w:styleId="WWNum3">
    <w:name w:val="WWNum3"/>
    <w:basedOn w:val="Aucuneliste"/>
    <w:pPr>
      <w:numPr>
        <w:numId w:val="13"/>
      </w:numPr>
    </w:pPr>
  </w:style>
  <w:style w:type="numbering" w:customStyle="1" w:styleId="WWNum6">
    <w:name w:val="WWNum6"/>
    <w:basedOn w:val="Aucuneliste"/>
    <w:pPr>
      <w:numPr>
        <w:numId w:val="14"/>
      </w:numPr>
    </w:pPr>
  </w:style>
  <w:style w:type="numbering" w:customStyle="1" w:styleId="WWNum7">
    <w:name w:val="WWNum7"/>
    <w:basedOn w:val="Aucuneliste"/>
    <w:pPr>
      <w:numPr>
        <w:numId w:val="15"/>
      </w:numPr>
    </w:pPr>
  </w:style>
  <w:style w:type="numbering" w:customStyle="1" w:styleId="WWNum8">
    <w:name w:val="WWNum8"/>
    <w:basedOn w:val="Aucuneliste"/>
    <w:pPr>
      <w:numPr>
        <w:numId w:val="16"/>
      </w:numPr>
    </w:pPr>
  </w:style>
  <w:style w:type="numbering" w:customStyle="1" w:styleId="WWNum9">
    <w:name w:val="WWNum9"/>
    <w:basedOn w:val="Aucuneliste"/>
    <w:pPr>
      <w:numPr>
        <w:numId w:val="17"/>
      </w:numPr>
    </w:pPr>
  </w:style>
  <w:style w:type="numbering" w:customStyle="1" w:styleId="WWNum10">
    <w:name w:val="WWNum10"/>
    <w:basedOn w:val="Aucuneliste"/>
    <w:pPr>
      <w:numPr>
        <w:numId w:val="18"/>
      </w:numPr>
    </w:pPr>
  </w:style>
  <w:style w:type="numbering" w:customStyle="1" w:styleId="WWNum11">
    <w:name w:val="WWNum11"/>
    <w:basedOn w:val="Aucuneliste"/>
    <w:pPr>
      <w:numPr>
        <w:numId w:val="19"/>
      </w:numPr>
    </w:pPr>
  </w:style>
  <w:style w:type="numbering" w:customStyle="1" w:styleId="WWNum12">
    <w:name w:val="WWNum12"/>
    <w:basedOn w:val="Aucuneliste"/>
    <w:pPr>
      <w:numPr>
        <w:numId w:val="20"/>
      </w:numPr>
    </w:pPr>
  </w:style>
  <w:style w:type="numbering" w:customStyle="1" w:styleId="WWNum2">
    <w:name w:val="WWNum2"/>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6150</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MAEVA RIEUX</cp:lastModifiedBy>
  <cp:revision>2</cp:revision>
  <dcterms:created xsi:type="dcterms:W3CDTF">2026-06-15T12:51:00Z</dcterms:created>
  <dcterms:modified xsi:type="dcterms:W3CDTF">2026-06-15T12:51:00Z</dcterms:modified>
</cp:coreProperties>
</file>